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一、高阳县消防救援大队收支预算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一、高阳县消防救援大队收支预算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1790.00</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r>
              <w:t xml:space="preserve">1790.00</w:t>
            </w: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1790.00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1790.00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1790.00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1790.00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1790.00</w:t>
            </w:r>
          </w:p>
        </w:tc>
        <w:tc>
          <w:tcPr>
            <w:tcW w:w="1134" w:type="dxa"/>
            <w:vAlign w:val="center"/>
          </w:tcPr>
          <w:p>
            <w:pPr>
              <w:pStyle w:val="单元格样式7"/>
            </w:pPr>
            <w:r>
              <w:t xml:space="preserve">1790.00</w:t>
            </w:r>
          </w:p>
        </w:tc>
        <w:tc>
          <w:tcPr>
            <w:tcW w:w="1134" w:type="dxa"/>
            <w:vAlign w:val="center"/>
          </w:tcPr>
          <w:p>
            <w:pPr>
              <w:pStyle w:val="单元格样式7"/>
            </w:pPr>
            <w:r>
              <w:t xml:space="preserve">1790.00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224</w:t>
            </w:r>
          </w:p>
        </w:tc>
        <w:tc>
          <w:tcPr>
            <w:tcW w:w="1559" w:type="dxa"/>
            <w:vAlign w:val="center"/>
          </w:tcPr>
          <w:p>
            <w:pPr>
              <w:pStyle w:val="单元格样式2"/>
            </w:pPr>
            <w:r>
              <w:t xml:space="preserve">灾害防治及应急管理支出</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22402</w:t>
            </w:r>
          </w:p>
        </w:tc>
        <w:tc>
          <w:tcPr>
            <w:tcW w:w="1559" w:type="dxa"/>
            <w:vAlign w:val="center"/>
          </w:tcPr>
          <w:p>
            <w:pPr>
              <w:pStyle w:val="单元格样式2"/>
            </w:pPr>
            <w:r>
              <w:t xml:space="preserve">消防救援事务</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2240204</w:t>
            </w:r>
          </w:p>
        </w:tc>
        <w:tc>
          <w:tcPr>
            <w:tcW w:w="1559" w:type="dxa"/>
            <w:vAlign w:val="center"/>
          </w:tcPr>
          <w:p>
            <w:pPr>
              <w:pStyle w:val="单元格样式2"/>
            </w:pPr>
            <w:r>
              <w:t xml:space="preserve">消防应急救援</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r>
              <w:t xml:space="preserve">1790.00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1790.00</w:t>
            </w:r>
          </w:p>
        </w:tc>
        <w:tc>
          <w:tcPr>
            <w:tcW w:w="1361" w:type="dxa"/>
            <w:vAlign w:val="center"/>
          </w:tcPr>
          <w:p>
            <w:pPr>
              <w:pStyle w:val="单元格样式7"/>
            </w:pPr>
          </w:p>
        </w:tc>
        <w:tc>
          <w:tcPr>
            <w:tcW w:w="1361" w:type="dxa"/>
            <w:vAlign w:val="center"/>
          </w:tcPr>
          <w:p>
            <w:pPr>
              <w:pStyle w:val="单元格样式7"/>
            </w:pPr>
            <w:r>
              <w:t xml:space="preserve">1790.00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22402</w:t>
            </w:r>
          </w:p>
        </w:tc>
        <w:tc>
          <w:tcPr>
            <w:tcW w:w="4535" w:type="dxa"/>
            <w:vAlign w:val="center"/>
          </w:tcPr>
          <w:p>
            <w:pPr>
              <w:pStyle w:val="单元格样式2"/>
            </w:pPr>
            <w:r>
              <w:t xml:space="preserve">消防救援事务</w:t>
            </w: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2240204</w:t>
            </w:r>
          </w:p>
        </w:tc>
        <w:tc>
          <w:tcPr>
            <w:tcW w:w="4535" w:type="dxa"/>
            <w:vAlign w:val="center"/>
          </w:tcPr>
          <w:p>
            <w:pPr>
              <w:pStyle w:val="单元格样式2"/>
            </w:pPr>
            <w:r>
              <w:t xml:space="preserve">消防应急救援</w:t>
            </w: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r>
              <w:t xml:space="preserve">1790.00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1790.00</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r>
              <w:t xml:space="preserve">1790.00</w:t>
            </w:r>
          </w:p>
        </w:tc>
        <w:tc>
          <w:tcPr>
            <w:tcW w:w="1474" w:type="dxa"/>
            <w:vAlign w:val="center"/>
          </w:tcPr>
          <w:p>
            <w:pPr>
              <w:pStyle w:val="单元格样式4"/>
            </w:pPr>
            <w:r>
              <w:t xml:space="preserve">1790.00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1790.00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1790.00</w:t>
            </w:r>
          </w:p>
        </w:tc>
        <w:tc>
          <w:tcPr>
            <w:tcW w:w="1474" w:type="dxa"/>
            <w:vAlign w:val="center"/>
          </w:tcPr>
          <w:p>
            <w:pPr>
              <w:pStyle w:val="单元格样式7"/>
            </w:pPr>
            <w:r>
              <w:t xml:space="preserve">1790.00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1790.00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1790.00</w:t>
            </w:r>
          </w:p>
        </w:tc>
        <w:tc>
          <w:tcPr>
            <w:tcW w:w="1474" w:type="dxa"/>
            <w:vAlign w:val="center"/>
          </w:tcPr>
          <w:p>
            <w:pPr>
              <w:pStyle w:val="单元格样式7"/>
            </w:pPr>
            <w:r>
              <w:t xml:space="preserve">1790.00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1790.00</w:t>
            </w:r>
          </w:p>
        </w:tc>
        <w:tc>
          <w:tcPr>
            <w:tcW w:w="2551" w:type="dxa"/>
            <w:vAlign w:val="center"/>
          </w:tcPr>
          <w:p>
            <w:pPr>
              <w:pStyle w:val="单元格样式7"/>
            </w:pPr>
          </w:p>
        </w:tc>
        <w:tc>
          <w:tcPr>
            <w:tcW w:w="2551" w:type="dxa"/>
            <w:vAlign w:val="center"/>
          </w:tcPr>
          <w:p>
            <w:pPr>
              <w:pStyle w:val="单元格样式7"/>
            </w:pPr>
            <w:r>
              <w:t xml:space="preserve">1790.00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2551" w:type="dxa"/>
            <w:vAlign w:val="center"/>
          </w:tcPr>
          <w:p>
            <w:pPr>
              <w:pStyle w:val="单元格样式4"/>
            </w:pPr>
            <w:r>
              <w:t xml:space="preserve">1790.00</w:t>
            </w:r>
          </w:p>
        </w:tc>
        <w:tc>
          <w:tcPr>
            <w:tcW w:w="2551" w:type="dxa"/>
            <w:vAlign w:val="center"/>
          </w:tcPr>
          <w:p>
            <w:pPr>
              <w:pStyle w:val="单元格样式4"/>
            </w:pPr>
          </w:p>
        </w:tc>
        <w:tc>
          <w:tcPr>
            <w:tcW w:w="2551" w:type="dxa"/>
            <w:vAlign w:val="center"/>
          </w:tcPr>
          <w:p>
            <w:pPr>
              <w:pStyle w:val="单元格样式4"/>
            </w:pPr>
            <w:r>
              <w:t xml:space="preserve">1790.00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22402</w:t>
            </w:r>
          </w:p>
        </w:tc>
        <w:tc>
          <w:tcPr>
            <w:tcW w:w="4535" w:type="dxa"/>
            <w:vAlign w:val="center"/>
          </w:tcPr>
          <w:p>
            <w:pPr>
              <w:pStyle w:val="单元格样式2"/>
            </w:pPr>
            <w:r>
              <w:t xml:space="preserve">消防救援事务</w:t>
            </w:r>
          </w:p>
        </w:tc>
        <w:tc>
          <w:tcPr>
            <w:tcW w:w="2551" w:type="dxa"/>
            <w:vAlign w:val="center"/>
          </w:tcPr>
          <w:p>
            <w:pPr>
              <w:pStyle w:val="单元格样式4"/>
            </w:pPr>
            <w:r>
              <w:t xml:space="preserve">1790.00</w:t>
            </w:r>
          </w:p>
        </w:tc>
        <w:tc>
          <w:tcPr>
            <w:tcW w:w="2551" w:type="dxa"/>
            <w:vAlign w:val="center"/>
          </w:tcPr>
          <w:p>
            <w:pPr>
              <w:pStyle w:val="单元格样式4"/>
            </w:pPr>
          </w:p>
        </w:tc>
        <w:tc>
          <w:tcPr>
            <w:tcW w:w="2551" w:type="dxa"/>
            <w:vAlign w:val="center"/>
          </w:tcPr>
          <w:p>
            <w:pPr>
              <w:pStyle w:val="单元格样式4"/>
            </w:pPr>
            <w:r>
              <w:t xml:space="preserve">1790.00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2240204</w:t>
            </w:r>
          </w:p>
        </w:tc>
        <w:tc>
          <w:tcPr>
            <w:tcW w:w="4535" w:type="dxa"/>
            <w:vAlign w:val="center"/>
          </w:tcPr>
          <w:p>
            <w:pPr>
              <w:pStyle w:val="单元格样式2"/>
            </w:pPr>
            <w:r>
              <w:t xml:space="preserve">消防应急救援</w:t>
            </w:r>
          </w:p>
        </w:tc>
        <w:tc>
          <w:tcPr>
            <w:tcW w:w="2551" w:type="dxa"/>
            <w:vAlign w:val="center"/>
          </w:tcPr>
          <w:p>
            <w:pPr>
              <w:pStyle w:val="单元格样式4"/>
            </w:pPr>
            <w:r>
              <w:t xml:space="preserve">1790.00</w:t>
            </w:r>
          </w:p>
        </w:tc>
        <w:tc>
          <w:tcPr>
            <w:tcW w:w="2551" w:type="dxa"/>
            <w:vAlign w:val="center"/>
          </w:tcPr>
          <w:p>
            <w:pPr>
              <w:pStyle w:val="单元格样式4"/>
            </w:pPr>
          </w:p>
        </w:tc>
        <w:tc>
          <w:tcPr>
            <w:tcW w:w="2551" w:type="dxa"/>
            <w:vAlign w:val="center"/>
          </w:tcPr>
          <w:p>
            <w:pPr>
              <w:pStyle w:val="单元格样式4"/>
            </w:pPr>
            <w:r>
              <w:t xml:space="preserve">1790.00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注：无一般公共预算财政拨款基本支出预算，空表列示。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高阳县消防救援大队2026年单位预算信息公开情况说明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按照《中华人民共和国预算法》、《地方预决算公开操作规程》和《关于进一步推进预算公开工作的实施意见》规定，现将高阳县消防救援大队2026年单位预算公开如下：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承担城乡综合性消费救援工作，负责指挥调度相关灾害事故救援行动，承担重要会议、大型活动消防安保工作；承担火灾预防、消防监督执法以及火灾事故调查处理相关工作，依法行使消防安全综合监管职能，推动落实消防安全责任制；参与拟订消防专项规划，参与起草地方性消防法规、规章草案并监督实施；负责消防救援队伍综合性消防救援预案编制，战术研究和执勤备战、训练演练等工作；负责消防救援信息化和应急通信，承担综合性消防救援行动应急通信保障工作；负责消防安全宣传教育，组织指导社会消防力量建设；负责消防应急救援专业队伍规划，建设与调度指挥，参与组织协调动员各类社会救援力量参加救援任务；负责消防救援队伍建设与管理。</w:t>
      </w:r>
    </w:p>
    <w:p>
      <w:pPr>
        <w:pStyle w:val="插入文本样式-插入单位职责文件"/>
      </w:pPr>
      <w:r>
        <w:t xml:space="preserve">完成应急管理部和所在省（市、县）党委政府交办的相关任务。</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高阳县消防救援大队</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1790.00万元，其中：一般公共预算收入1790.00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高阳县消防救援大队年度单位预算中支出预算的总体情况。2026年支出预算1790.00万元，其中基本支出0.00万元，包括人员经费0.00万元和日常公用经费0.00万元；项目支出1790.00万元，主要为本单位全部支出均为项目支出。；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1790.00万元，较2025年预算减少15.22万元，其中：基本支出增加0.00万元，主要为落实“过紧日子”要求。项目支出减少15.22万元，主要为落实“过紧日子”要求。。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预算安排。</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1、高阳县消防车辆运行维护经费绩效目标表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13062826P00A928100116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高阳县消防车辆运行维护经费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保障执勤消防车辆正常运转</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23.00</w:t>
            </w:r>
          </w:p>
        </w:tc>
        <w:tc>
          <w:tcPr>
            <w:tcW w:w="2835" w:type="dxa"/>
            <w:vAlign w:val="center"/>
          </w:tcPr>
          <w:p>
            <w:pPr>
              <w:pStyle w:val="单元格样式3"/>
            </w:pPr>
            <w:r>
              <w:t xml:space="preserve">46.00</w:t>
            </w:r>
          </w:p>
        </w:tc>
        <w:tc>
          <w:tcPr>
            <w:tcW w:w="2551" w:type="dxa"/>
            <w:vAlign w:val="center"/>
          </w:tcPr>
          <w:p>
            <w:pPr>
              <w:pStyle w:val="单元格样式3"/>
            </w:pPr>
            <w:r>
              <w:t xml:space="preserve">77.00</w:t>
            </w:r>
          </w:p>
        </w:tc>
        <w:tc>
          <w:tcPr>
            <w:tcW w:w="3544" w:type="dxa"/>
            <w:gridSpan w:val="2"/>
            <w:vAlign w:val="center"/>
          </w:tcPr>
          <w:p>
            <w:pPr>
              <w:pStyle w:val="单元格样式3"/>
            </w:pPr>
            <w:r>
              <w:t xml:space="preserve">92.00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1.保障执勤消防车辆正常运转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出警率</w:t>
            </w:r>
          </w:p>
        </w:tc>
        <w:tc>
          <w:tcPr>
            <w:tcW w:w="5386" w:type="dxa"/>
            <w:vAlign w:val="center"/>
          </w:tcPr>
          <w:p>
            <w:pPr>
              <w:pStyle w:val="单元格样式2"/>
            </w:pPr>
            <w:r>
              <w:t xml:space="preserve">灭火应急救援出警率</w:t>
            </w:r>
          </w:p>
        </w:tc>
        <w:tc>
          <w:tcPr>
            <w:tcW w:w="2268" w:type="dxa"/>
            <w:vAlign w:val="center"/>
          </w:tcPr>
          <w:p>
            <w:pPr>
              <w:pStyle w:val="单元格样式2"/>
            </w:pPr>
            <w:r>
              <w:t xml:space="preserve">≥90%</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车辆正常运行率</w:t>
            </w:r>
          </w:p>
        </w:tc>
        <w:tc>
          <w:tcPr>
            <w:tcW w:w="5386" w:type="dxa"/>
            <w:vAlign w:val="center"/>
          </w:tcPr>
          <w:p>
            <w:pPr>
              <w:pStyle w:val="单元格样式2"/>
            </w:pPr>
            <w:r>
              <w:t xml:space="preserve">灭火救援时消防车辆正常运行率</w:t>
            </w:r>
          </w:p>
        </w:tc>
        <w:tc>
          <w:tcPr>
            <w:tcW w:w="2268" w:type="dxa"/>
            <w:vAlign w:val="center"/>
          </w:tcPr>
          <w:p>
            <w:pPr>
              <w:pStyle w:val="单元格样式2"/>
            </w:pPr>
            <w:r>
              <w:t xml:space="preserve">≥90%</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完成工作时间</w:t>
            </w:r>
          </w:p>
        </w:tc>
        <w:tc>
          <w:tcPr>
            <w:tcW w:w="5386" w:type="dxa"/>
            <w:vAlign w:val="center"/>
          </w:tcPr>
          <w:p>
            <w:pPr>
              <w:pStyle w:val="单元格样式2"/>
            </w:pPr>
            <w:r>
              <w:t xml:space="preserve">完成工作时间</w:t>
            </w:r>
          </w:p>
        </w:tc>
        <w:tc>
          <w:tcPr>
            <w:tcW w:w="2268" w:type="dxa"/>
            <w:vAlign w:val="center"/>
          </w:tcPr>
          <w:p>
            <w:pPr>
              <w:pStyle w:val="单元格样式2"/>
            </w:pPr>
            <w:r>
              <w:t xml:space="preserve">及时有效的完成车辆运行维护工作</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资金支付时限</w:t>
            </w:r>
          </w:p>
        </w:tc>
        <w:tc>
          <w:tcPr>
            <w:tcW w:w="5386" w:type="dxa"/>
            <w:vAlign w:val="center"/>
          </w:tcPr>
          <w:p>
            <w:pPr>
              <w:pStyle w:val="单元格样式2"/>
            </w:pPr>
            <w:r>
              <w:t xml:space="preserve">资金支付时限</w:t>
            </w:r>
          </w:p>
        </w:tc>
        <w:tc>
          <w:tcPr>
            <w:tcW w:w="2268" w:type="dxa"/>
            <w:vAlign w:val="center"/>
          </w:tcPr>
          <w:p>
            <w:pPr>
              <w:pStyle w:val="单元格样式2"/>
            </w:pPr>
            <w:r>
              <w:t xml:space="preserve">1年</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应急救援率</w:t>
            </w:r>
          </w:p>
        </w:tc>
        <w:tc>
          <w:tcPr>
            <w:tcW w:w="5386" w:type="dxa"/>
            <w:vAlign w:val="center"/>
          </w:tcPr>
          <w:p>
            <w:pPr>
              <w:pStyle w:val="单元格样式2"/>
            </w:pPr>
            <w:r>
              <w:t xml:space="preserve">保护人民生命财产安全</w:t>
            </w:r>
          </w:p>
        </w:tc>
        <w:tc>
          <w:tcPr>
            <w:tcW w:w="2268" w:type="dxa"/>
            <w:vAlign w:val="center"/>
          </w:tcPr>
          <w:p>
            <w:pPr>
              <w:pStyle w:val="单元格样式2"/>
            </w:pPr>
            <w:r>
              <w:t xml:space="preserve">≥90%</w:t>
            </w:r>
          </w:p>
        </w:tc>
        <w:tc>
          <w:tcPr>
            <w:tcW w:w="1276" w:type="dxa"/>
            <w:vAlign w:val="center"/>
          </w:tcPr>
          <w:p>
            <w:pPr>
              <w:pStyle w:val="单元格样式2"/>
            </w:pPr>
            <w:r>
              <w:t xml:space="preserve">冀财防[2012]168号《河北省地方消防经费保障指导标准》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被服务单位满意度占比</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2、高阳县消防业务经费绩效目标表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13062826P00A92810010J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高阳县消防业务经费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履行职能所需支出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115.00</w:t>
            </w:r>
          </w:p>
        </w:tc>
        <w:tc>
          <w:tcPr>
            <w:tcW w:w="2835" w:type="dxa"/>
            <w:vAlign w:val="center"/>
          </w:tcPr>
          <w:p>
            <w:pPr>
              <w:pStyle w:val="单元格样式3"/>
            </w:pPr>
            <w:r>
              <w:t xml:space="preserve">230.00</w:t>
            </w:r>
          </w:p>
        </w:tc>
        <w:tc>
          <w:tcPr>
            <w:tcW w:w="2551" w:type="dxa"/>
            <w:vAlign w:val="center"/>
          </w:tcPr>
          <w:p>
            <w:pPr>
              <w:pStyle w:val="单元格样式3"/>
            </w:pPr>
            <w:r>
              <w:t xml:space="preserve">385.00</w:t>
            </w:r>
          </w:p>
        </w:tc>
        <w:tc>
          <w:tcPr>
            <w:tcW w:w="3544" w:type="dxa"/>
            <w:gridSpan w:val="2"/>
            <w:vAlign w:val="center"/>
          </w:tcPr>
          <w:p>
            <w:pPr>
              <w:pStyle w:val="单元格样式3"/>
            </w:pPr>
            <w:r>
              <w:t xml:space="preserve">460.00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1.保障我单位能正常运转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覆盖率</w:t>
            </w:r>
          </w:p>
        </w:tc>
        <w:tc>
          <w:tcPr>
            <w:tcW w:w="5386" w:type="dxa"/>
            <w:vAlign w:val="center"/>
          </w:tcPr>
          <w:p>
            <w:pPr>
              <w:pStyle w:val="单元格样式2"/>
            </w:pPr>
            <w:r>
              <w:t xml:space="preserve">辖区内消防宣传覆盖率</w:t>
            </w:r>
          </w:p>
        </w:tc>
        <w:tc>
          <w:tcPr>
            <w:tcW w:w="2268" w:type="dxa"/>
            <w:vAlign w:val="center"/>
          </w:tcPr>
          <w:p>
            <w:pPr>
              <w:pStyle w:val="单元格样式2"/>
            </w:pPr>
            <w:r>
              <w:t xml:space="preserve">≥90%</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工作任务完成率</w:t>
            </w:r>
          </w:p>
        </w:tc>
        <w:tc>
          <w:tcPr>
            <w:tcW w:w="5386" w:type="dxa"/>
            <w:vAlign w:val="center"/>
          </w:tcPr>
          <w:p>
            <w:pPr>
              <w:pStyle w:val="单元格样式2"/>
            </w:pPr>
            <w:r>
              <w:t xml:space="preserve">工作任务完成率</w:t>
            </w:r>
          </w:p>
        </w:tc>
        <w:tc>
          <w:tcPr>
            <w:tcW w:w="2268" w:type="dxa"/>
            <w:vAlign w:val="center"/>
          </w:tcPr>
          <w:p>
            <w:pPr>
              <w:pStyle w:val="单元格样式2"/>
            </w:pPr>
            <w:r>
              <w:t xml:space="preserve">≥95%</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保障年度</w:t>
            </w:r>
          </w:p>
        </w:tc>
        <w:tc>
          <w:tcPr>
            <w:tcW w:w="5386" w:type="dxa"/>
            <w:vAlign w:val="center"/>
          </w:tcPr>
          <w:p>
            <w:pPr>
              <w:pStyle w:val="单元格样式2"/>
            </w:pPr>
            <w:r>
              <w:t xml:space="preserve">保障单位正常运转时间</w:t>
            </w:r>
          </w:p>
        </w:tc>
        <w:tc>
          <w:tcPr>
            <w:tcW w:w="2268" w:type="dxa"/>
            <w:vAlign w:val="center"/>
          </w:tcPr>
          <w:p>
            <w:pPr>
              <w:pStyle w:val="单元格样式2"/>
            </w:pPr>
            <w:r>
              <w:t xml:space="preserve">1年</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基本支出保障标准</w:t>
            </w:r>
          </w:p>
        </w:tc>
        <w:tc>
          <w:tcPr>
            <w:tcW w:w="5386" w:type="dxa"/>
            <w:vAlign w:val="center"/>
          </w:tcPr>
          <w:p>
            <w:pPr>
              <w:pStyle w:val="单元格样式2"/>
            </w:pPr>
            <w:r>
              <w:t xml:space="preserve">每人每年基本支出保障标准</w:t>
            </w:r>
          </w:p>
        </w:tc>
        <w:tc>
          <w:tcPr>
            <w:tcW w:w="2268" w:type="dxa"/>
            <w:vAlign w:val="center"/>
          </w:tcPr>
          <w:p>
            <w:pPr>
              <w:pStyle w:val="单元格样式2"/>
            </w:pPr>
            <w:r>
              <w:t xml:space="preserve">4万元</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应急救援保障</w:t>
            </w:r>
          </w:p>
        </w:tc>
        <w:tc>
          <w:tcPr>
            <w:tcW w:w="5386" w:type="dxa"/>
            <w:vAlign w:val="center"/>
          </w:tcPr>
          <w:p>
            <w:pPr>
              <w:pStyle w:val="单元格样式2"/>
            </w:pPr>
            <w:r>
              <w:t xml:space="preserve">应急救援保障</w:t>
            </w:r>
          </w:p>
        </w:tc>
        <w:tc>
          <w:tcPr>
            <w:tcW w:w="2268" w:type="dxa"/>
            <w:vAlign w:val="center"/>
          </w:tcPr>
          <w:p>
            <w:pPr>
              <w:pStyle w:val="单元格样式2"/>
            </w:pPr>
            <w:r>
              <w:t xml:space="preserve">≥90%</w:t>
            </w:r>
          </w:p>
        </w:tc>
        <w:tc>
          <w:tcPr>
            <w:tcW w:w="1276" w:type="dxa"/>
            <w:vAlign w:val="center"/>
          </w:tcPr>
          <w:p>
            <w:pPr>
              <w:pStyle w:val="单元格样式2"/>
            </w:pPr>
            <w:r>
              <w:t xml:space="preserve">冀财行[2012]168号《河北省地方消防经费保障指导标准》</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满意的单位占总单位的比率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3、高阳县政府专职消防员经费绩效目标表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13062826P00011210002W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高阳县政府专职消防员经费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1180.00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1180.00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政府专职消防员工资、保险、伙食、被装等支出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295.00</w:t>
            </w:r>
          </w:p>
        </w:tc>
        <w:tc>
          <w:tcPr>
            <w:tcW w:w="2835" w:type="dxa"/>
            <w:vAlign w:val="center"/>
          </w:tcPr>
          <w:p>
            <w:pPr>
              <w:pStyle w:val="单元格样式3"/>
            </w:pPr>
            <w:r>
              <w:t xml:space="preserve">590.00</w:t>
            </w:r>
          </w:p>
        </w:tc>
        <w:tc>
          <w:tcPr>
            <w:tcW w:w="2551" w:type="dxa"/>
            <w:vAlign w:val="center"/>
          </w:tcPr>
          <w:p>
            <w:pPr>
              <w:pStyle w:val="单元格样式3"/>
            </w:pPr>
            <w:r>
              <w:t xml:space="preserve">983.00</w:t>
            </w:r>
          </w:p>
        </w:tc>
        <w:tc>
          <w:tcPr>
            <w:tcW w:w="3544" w:type="dxa"/>
            <w:gridSpan w:val="2"/>
            <w:vAlign w:val="center"/>
          </w:tcPr>
          <w:p>
            <w:pPr>
              <w:pStyle w:val="单元格样式3"/>
            </w:pPr>
            <w:r>
              <w:t xml:space="preserve">1180.00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1.保障队伍稳定，按时完成工作任务。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执行人数</w:t>
            </w:r>
          </w:p>
        </w:tc>
        <w:tc>
          <w:tcPr>
            <w:tcW w:w="5386" w:type="dxa"/>
            <w:vAlign w:val="center"/>
          </w:tcPr>
          <w:p>
            <w:pPr>
              <w:pStyle w:val="单元格样式2"/>
            </w:pPr>
            <w:r>
              <w:t xml:space="preserve">执行人数占比</w:t>
            </w:r>
          </w:p>
        </w:tc>
        <w:tc>
          <w:tcPr>
            <w:tcW w:w="2268" w:type="dxa"/>
            <w:vAlign w:val="center"/>
          </w:tcPr>
          <w:p>
            <w:pPr>
              <w:pStyle w:val="单元格样式2"/>
            </w:pPr>
            <w:r>
              <w:t xml:space="preserve">≥90%</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标准执行准确率</w:t>
            </w:r>
          </w:p>
        </w:tc>
        <w:tc>
          <w:tcPr>
            <w:tcW w:w="5386" w:type="dxa"/>
            <w:vAlign w:val="center"/>
          </w:tcPr>
          <w:p>
            <w:pPr>
              <w:pStyle w:val="单元格样式2"/>
            </w:pPr>
            <w:r>
              <w:t xml:space="preserve">按标准执行准确率</w:t>
            </w:r>
          </w:p>
        </w:tc>
        <w:tc>
          <w:tcPr>
            <w:tcW w:w="2268" w:type="dxa"/>
            <w:vAlign w:val="center"/>
          </w:tcPr>
          <w:p>
            <w:pPr>
              <w:pStyle w:val="单元格样式2"/>
            </w:pPr>
            <w:r>
              <w:t xml:space="preserve">≥95%</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及时发放性</w:t>
            </w:r>
          </w:p>
        </w:tc>
        <w:tc>
          <w:tcPr>
            <w:tcW w:w="5386" w:type="dxa"/>
            <w:vAlign w:val="center"/>
          </w:tcPr>
          <w:p>
            <w:pPr>
              <w:pStyle w:val="单元格样式2"/>
            </w:pPr>
            <w:r>
              <w:t xml:space="preserve">按月及时发放工资、缴纳保险</w:t>
            </w:r>
          </w:p>
        </w:tc>
        <w:tc>
          <w:tcPr>
            <w:tcW w:w="2268" w:type="dxa"/>
            <w:vAlign w:val="center"/>
          </w:tcPr>
          <w:p>
            <w:pPr>
              <w:pStyle w:val="单元格样式2"/>
            </w:pPr>
            <w:r>
              <w:t xml:space="preserve">按月及时发放工资、缴纳保险</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不超预算支出</w:t>
            </w:r>
          </w:p>
        </w:tc>
        <w:tc>
          <w:tcPr>
            <w:tcW w:w="5386" w:type="dxa"/>
            <w:vAlign w:val="center"/>
          </w:tcPr>
          <w:p>
            <w:pPr>
              <w:pStyle w:val="单元格样式2"/>
            </w:pPr>
            <w:r>
              <w:t xml:space="preserve">不超预算支出</w:t>
            </w:r>
          </w:p>
        </w:tc>
        <w:tc>
          <w:tcPr>
            <w:tcW w:w="2268" w:type="dxa"/>
            <w:vAlign w:val="center"/>
          </w:tcPr>
          <w:p>
            <w:pPr>
              <w:pStyle w:val="单元格样式2"/>
            </w:pPr>
            <w:r>
              <w:t xml:space="preserve">100%</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队伍稳定</w:t>
            </w:r>
          </w:p>
        </w:tc>
        <w:tc>
          <w:tcPr>
            <w:tcW w:w="5386" w:type="dxa"/>
            <w:vAlign w:val="center"/>
          </w:tcPr>
          <w:p>
            <w:pPr>
              <w:pStyle w:val="单元格样式2"/>
            </w:pPr>
            <w:r>
              <w:t xml:space="preserve">保障政府专职消防队队伍稳定</w:t>
            </w:r>
          </w:p>
        </w:tc>
        <w:tc>
          <w:tcPr>
            <w:tcW w:w="2268" w:type="dxa"/>
            <w:vAlign w:val="center"/>
          </w:tcPr>
          <w:p>
            <w:pPr>
              <w:pStyle w:val="单元格样式2"/>
            </w:pPr>
            <w:r>
              <w:t xml:space="preserve">保障政府专职消防队队伍稳定</w:t>
            </w:r>
          </w:p>
        </w:tc>
        <w:tc>
          <w:tcPr>
            <w:tcW w:w="1276" w:type="dxa"/>
            <w:vAlign w:val="center"/>
          </w:tcPr>
          <w:p>
            <w:pPr>
              <w:pStyle w:val="单元格样式2"/>
            </w:pPr>
            <w:r>
              <w:t xml:space="preserve">高阳县人民政府编号X66号文件关于贯彻落实《保定市人民政府关于贯彻《河北省专职消防队伍建设管理办法》的实施意见》</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服务对象满意度指标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4、消防改革性和奖励性补贴绩效目标表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13062826P002GQ410008D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消防改革性和奖励性补贴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国家消防救援队伍人员改革性、奖励性补贴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9.25</w:t>
            </w:r>
          </w:p>
        </w:tc>
        <w:tc>
          <w:tcPr>
            <w:tcW w:w="2835" w:type="dxa"/>
            <w:vAlign w:val="center"/>
          </w:tcPr>
          <w:p>
            <w:pPr>
              <w:pStyle w:val="单元格样式3"/>
            </w:pPr>
            <w:r>
              <w:t xml:space="preserve">18.50</w:t>
            </w:r>
          </w:p>
        </w:tc>
        <w:tc>
          <w:tcPr>
            <w:tcW w:w="2551" w:type="dxa"/>
            <w:vAlign w:val="center"/>
          </w:tcPr>
          <w:p>
            <w:pPr>
              <w:pStyle w:val="单元格样式3"/>
            </w:pPr>
            <w:r>
              <w:t xml:space="preserve">27.75</w:t>
            </w:r>
          </w:p>
        </w:tc>
        <w:tc>
          <w:tcPr>
            <w:tcW w:w="3544" w:type="dxa"/>
            <w:gridSpan w:val="2"/>
            <w:vAlign w:val="center"/>
          </w:tcPr>
          <w:p>
            <w:pPr>
              <w:pStyle w:val="单元格样式3"/>
            </w:pPr>
            <w:r>
              <w:t xml:space="preserve">37.00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1.保障国家综合性消防救援队伍人员改革性补贴、奖励性补贴落实到位。</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发放人数</w:t>
            </w:r>
          </w:p>
        </w:tc>
        <w:tc>
          <w:tcPr>
            <w:tcW w:w="5386" w:type="dxa"/>
            <w:vAlign w:val="center"/>
          </w:tcPr>
          <w:p>
            <w:pPr>
              <w:pStyle w:val="单元格样式2"/>
            </w:pPr>
            <w:r>
              <w:t xml:space="preserve">改革性奖励性补贴发放人数</w:t>
            </w:r>
          </w:p>
        </w:tc>
        <w:tc>
          <w:tcPr>
            <w:tcW w:w="2268" w:type="dxa"/>
            <w:vAlign w:val="center"/>
          </w:tcPr>
          <w:p>
            <w:pPr>
              <w:pStyle w:val="单元格样式2"/>
            </w:pPr>
            <w:r>
              <w:t xml:space="preserve">8人</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发放准确率</w:t>
            </w:r>
          </w:p>
        </w:tc>
        <w:tc>
          <w:tcPr>
            <w:tcW w:w="5386" w:type="dxa"/>
            <w:vAlign w:val="center"/>
          </w:tcPr>
          <w:p>
            <w:pPr>
              <w:pStyle w:val="单元格样式2"/>
            </w:pPr>
            <w:r>
              <w:t xml:space="preserve">改革性奖励性补贴发放准确率</w:t>
            </w:r>
          </w:p>
        </w:tc>
        <w:tc>
          <w:tcPr>
            <w:tcW w:w="2268" w:type="dxa"/>
            <w:vAlign w:val="center"/>
          </w:tcPr>
          <w:p>
            <w:pPr>
              <w:pStyle w:val="单元格样式2"/>
            </w:pPr>
            <w:r>
              <w:t xml:space="preserve">≥95%</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发放完成时间</w:t>
            </w:r>
          </w:p>
        </w:tc>
        <w:tc>
          <w:tcPr>
            <w:tcW w:w="5386" w:type="dxa"/>
            <w:vAlign w:val="center"/>
          </w:tcPr>
          <w:p>
            <w:pPr>
              <w:pStyle w:val="单元格样式2"/>
            </w:pPr>
            <w:r>
              <w:t xml:space="preserve">发放完成时间</w:t>
            </w:r>
          </w:p>
        </w:tc>
        <w:tc>
          <w:tcPr>
            <w:tcW w:w="2268" w:type="dxa"/>
            <w:vAlign w:val="center"/>
          </w:tcPr>
          <w:p>
            <w:pPr>
              <w:pStyle w:val="单元格样式2"/>
            </w:pPr>
            <w:r>
              <w:t xml:space="preserve">按月及时发放改革性奖励性补贴</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发放标准</w:t>
            </w:r>
          </w:p>
        </w:tc>
        <w:tc>
          <w:tcPr>
            <w:tcW w:w="5386" w:type="dxa"/>
            <w:vAlign w:val="center"/>
          </w:tcPr>
          <w:p>
            <w:pPr>
              <w:pStyle w:val="单元格样式2"/>
            </w:pPr>
            <w:r>
              <w:t xml:space="preserve">补贴发放标准</w:t>
            </w:r>
          </w:p>
        </w:tc>
        <w:tc>
          <w:tcPr>
            <w:tcW w:w="2268" w:type="dxa"/>
            <w:vAlign w:val="center"/>
          </w:tcPr>
          <w:p>
            <w:pPr>
              <w:pStyle w:val="单元格样式2"/>
            </w:pPr>
            <w:r>
              <w:t xml:space="preserve">严格按照标准发放改革性奖励性补贴</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工作开展持续性</w:t>
            </w:r>
          </w:p>
        </w:tc>
        <w:tc>
          <w:tcPr>
            <w:tcW w:w="5386" w:type="dxa"/>
            <w:vAlign w:val="center"/>
          </w:tcPr>
          <w:p>
            <w:pPr>
              <w:pStyle w:val="单元格样式2"/>
            </w:pPr>
            <w:r>
              <w:t xml:space="preserve">保持消防队伍稳定，更好的开展各项工作</w:t>
            </w:r>
          </w:p>
        </w:tc>
        <w:tc>
          <w:tcPr>
            <w:tcW w:w="2268" w:type="dxa"/>
            <w:vAlign w:val="center"/>
          </w:tcPr>
          <w:p>
            <w:pPr>
              <w:pStyle w:val="单元格样式2"/>
            </w:pPr>
            <w:r>
              <w:t xml:space="preserve">≥95%</w:t>
            </w:r>
          </w:p>
        </w:tc>
        <w:tc>
          <w:tcPr>
            <w:tcW w:w="1276" w:type="dxa"/>
            <w:vAlign w:val="center"/>
          </w:tcPr>
          <w:p>
            <w:pPr>
              <w:pStyle w:val="单元格样式2"/>
            </w:pPr>
            <w:r>
              <w:t xml:space="preserve">冀财建【2020】248号《驻河北省国家综合性消防救援队伍经费管理实施细则》的通知（秘密）</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5、消防改革性和奖励性补贴绩效目标表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13062826P002GQ4100091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消防改革性和奖励性补贴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国家消防救援队伍人员改革性、奖励性补贴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5.25</w:t>
            </w:r>
          </w:p>
        </w:tc>
        <w:tc>
          <w:tcPr>
            <w:tcW w:w="2835" w:type="dxa"/>
            <w:vAlign w:val="center"/>
          </w:tcPr>
          <w:p>
            <w:pPr>
              <w:pStyle w:val="单元格样式3"/>
            </w:pPr>
            <w:r>
              <w:t xml:space="preserve">10.50</w:t>
            </w:r>
          </w:p>
        </w:tc>
        <w:tc>
          <w:tcPr>
            <w:tcW w:w="2551" w:type="dxa"/>
            <w:vAlign w:val="center"/>
          </w:tcPr>
          <w:p>
            <w:pPr>
              <w:pStyle w:val="单元格样式3"/>
            </w:pPr>
            <w:r>
              <w:t xml:space="preserve">17.50</w:t>
            </w:r>
          </w:p>
        </w:tc>
        <w:tc>
          <w:tcPr>
            <w:tcW w:w="3544" w:type="dxa"/>
            <w:gridSpan w:val="2"/>
            <w:vAlign w:val="center"/>
          </w:tcPr>
          <w:p>
            <w:pPr>
              <w:pStyle w:val="单元格样式3"/>
            </w:pPr>
            <w:r>
              <w:t xml:space="preserve">21.00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1.国家消防救援队伍人员改革性、奖励性补贴</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补贴发放人数</w:t>
            </w:r>
          </w:p>
        </w:tc>
        <w:tc>
          <w:tcPr>
            <w:tcW w:w="5386" w:type="dxa"/>
            <w:vAlign w:val="center"/>
          </w:tcPr>
          <w:p>
            <w:pPr>
              <w:pStyle w:val="单元格样式2"/>
            </w:pPr>
            <w:r>
              <w:t xml:space="preserve">改革性奖励性补贴发放人数</w:t>
            </w:r>
          </w:p>
        </w:tc>
        <w:tc>
          <w:tcPr>
            <w:tcW w:w="2268" w:type="dxa"/>
            <w:vAlign w:val="center"/>
          </w:tcPr>
          <w:p>
            <w:pPr>
              <w:pStyle w:val="单元格样式2"/>
            </w:pPr>
            <w:r>
              <w:t xml:space="preserve">8人</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发放准确率</w:t>
            </w:r>
          </w:p>
        </w:tc>
        <w:tc>
          <w:tcPr>
            <w:tcW w:w="5386" w:type="dxa"/>
            <w:vAlign w:val="center"/>
          </w:tcPr>
          <w:p>
            <w:pPr>
              <w:pStyle w:val="单元格样式2"/>
            </w:pPr>
            <w:r>
              <w:t xml:space="preserve">改革性奖励性补贴发放准确率</w:t>
            </w:r>
          </w:p>
        </w:tc>
        <w:tc>
          <w:tcPr>
            <w:tcW w:w="2268" w:type="dxa"/>
            <w:vAlign w:val="center"/>
          </w:tcPr>
          <w:p>
            <w:pPr>
              <w:pStyle w:val="单元格样式2"/>
            </w:pPr>
            <w:r>
              <w:t xml:space="preserve">≥95%</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补贴发放标准</w:t>
            </w:r>
          </w:p>
        </w:tc>
        <w:tc>
          <w:tcPr>
            <w:tcW w:w="5386" w:type="dxa"/>
            <w:vAlign w:val="center"/>
          </w:tcPr>
          <w:p>
            <w:pPr>
              <w:pStyle w:val="单元格样式2"/>
            </w:pPr>
            <w:r>
              <w:t xml:space="preserve">补贴发放标准</w:t>
            </w:r>
          </w:p>
        </w:tc>
        <w:tc>
          <w:tcPr>
            <w:tcW w:w="2268" w:type="dxa"/>
            <w:vAlign w:val="center"/>
          </w:tcPr>
          <w:p>
            <w:pPr>
              <w:pStyle w:val="单元格样式2"/>
            </w:pPr>
            <w:r>
              <w:t xml:space="preserve">严格按照标准发放改革性奖励性补贴</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发放完成时间</w:t>
            </w:r>
          </w:p>
        </w:tc>
        <w:tc>
          <w:tcPr>
            <w:tcW w:w="5386" w:type="dxa"/>
            <w:vAlign w:val="center"/>
          </w:tcPr>
          <w:p>
            <w:pPr>
              <w:pStyle w:val="单元格样式2"/>
            </w:pPr>
            <w:r>
              <w:t xml:space="preserve">发放完成时间</w:t>
            </w:r>
          </w:p>
        </w:tc>
        <w:tc>
          <w:tcPr>
            <w:tcW w:w="2268" w:type="dxa"/>
            <w:vAlign w:val="center"/>
          </w:tcPr>
          <w:p>
            <w:pPr>
              <w:pStyle w:val="单元格样式2"/>
            </w:pPr>
            <w:r>
              <w:t xml:space="preserve">严格按照标准发放改革性奖励性补贴</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准确、及时发放补贴，落实指战员工资待遇</w:t>
            </w:r>
          </w:p>
        </w:tc>
        <w:tc>
          <w:tcPr>
            <w:tcW w:w="5386" w:type="dxa"/>
            <w:vAlign w:val="center"/>
          </w:tcPr>
          <w:p>
            <w:pPr>
              <w:pStyle w:val="单元格样式2"/>
            </w:pPr>
            <w:r>
              <w:t xml:space="preserve">保持消防救援队伍稳定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高阳县财政局</w:t>
            </w:r>
          </w:p>
          <w:p>
            <w:pPr>
              <w:pStyle w:val="单元格样式2"/>
            </w:pPr>
            <w:r>
              <w:t xml:space="preserve">高财预[2025]51号《关于提前下达2026年消防救援队伍改革性补贴等支出的批复》</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指战员满意度</w:t>
            </w:r>
          </w:p>
        </w:tc>
        <w:tc>
          <w:tcPr>
            <w:tcW w:w="5386" w:type="dxa"/>
            <w:vAlign w:val="center"/>
          </w:tcPr>
          <w:p>
            <w:pPr>
              <w:pStyle w:val="单元格样式2"/>
            </w:pPr>
            <w:r>
              <w:t xml:space="preserve">指战员反馈满意度占调查人数比率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高阳县消防救援大队上年末固定资产金额为0.00万元（详见下表）。本年度拟购置固定资产总额为0.00万元，已按要求列入政府采购预算，详见政府采购预算表。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993002高阳县消防救援大队</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33</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2026-03-11T12:12:14Z</dcterms:created>
  <dcterms:modified xsi:type="dcterms:W3CDTF">2026-03-11T12:12:14Z</dcterms:modified>
</cp:coreProperties>
</file>