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一、高阳县城市管理综合行政执法局收支预算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二、高阳县市政园林服务所收支预算</w:t>
      </w:r>
      <w:r>
        <w:tab/>
      </w:r>
      <w:r>
        <w:fldChar w:fldCharType="begin"/>
      </w:r>
      <w:r>
        <w:instrText xml:space="preserve">PAGEREF _Toc_4_4_0000000002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一、高阳县城市管理综合行政执法局收支预算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6175.06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6054.90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6175.06</w:t>
            </w:r>
          </w:p>
        </w:tc>
        <w:tc>
          <w:tcPr>
            <w:tcW w:w="4535" w:type="dxa"/>
            <w:vAlign w:val="center"/>
          </w:tcPr>
          <w:p>
            <w:pPr>
              <w:pStyle w:val="14"/>
            </w:pPr>
            <w:r>
              <w:t>本年支出合计</w:t>
            </w:r>
          </w:p>
        </w:tc>
        <w:tc>
          <w:tcPr>
            <w:tcW w:w="2126" w:type="dxa"/>
            <w:vAlign w:val="center"/>
          </w:tcPr>
          <w:p>
            <w:pPr>
              <w:pStyle w:val="15"/>
            </w:pPr>
            <w:r>
              <w:t>6175.06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6175.06</w:t>
            </w:r>
          </w:p>
        </w:tc>
        <w:tc>
          <w:tcPr>
            <w:tcW w:w="4535" w:type="dxa"/>
            <w:vAlign w:val="center"/>
          </w:tcPr>
          <w:p>
            <w:pPr>
              <w:pStyle w:val="14"/>
            </w:pPr>
            <w:r>
              <w:t>支出总计</w:t>
            </w:r>
          </w:p>
        </w:tc>
        <w:tc>
          <w:tcPr>
            <w:tcW w:w="2126" w:type="dxa"/>
            <w:vAlign w:val="center"/>
          </w:tcPr>
          <w:p>
            <w:pPr>
              <w:pStyle w:val="15"/>
            </w:pPr>
            <w:r>
              <w:t>6175.06</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6175.06</w:t>
            </w:r>
          </w:p>
        </w:tc>
        <w:tc>
          <w:tcPr>
            <w:tcW w:w="1134" w:type="dxa"/>
            <w:vAlign w:val="center"/>
          </w:tcPr>
          <w:p>
            <w:pPr>
              <w:pStyle w:val="15"/>
            </w:pPr>
            <w:r>
              <w:t>6175.06</w:t>
            </w:r>
          </w:p>
        </w:tc>
        <w:tc>
          <w:tcPr>
            <w:tcW w:w="1134" w:type="dxa"/>
            <w:vAlign w:val="center"/>
          </w:tcPr>
          <w:p>
            <w:pPr>
              <w:pStyle w:val="15"/>
            </w:pPr>
            <w:r>
              <w:t>6175.06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100.33</w:t>
            </w:r>
          </w:p>
        </w:tc>
        <w:tc>
          <w:tcPr>
            <w:tcW w:w="1134" w:type="dxa"/>
            <w:vAlign w:val="center"/>
          </w:tcPr>
          <w:p>
            <w:pPr>
              <w:pStyle w:val="11"/>
            </w:pPr>
            <w:r>
              <w:t>100.33</w:t>
            </w:r>
          </w:p>
        </w:tc>
        <w:tc>
          <w:tcPr>
            <w:tcW w:w="1134" w:type="dxa"/>
            <w:vAlign w:val="center"/>
          </w:tcPr>
          <w:p>
            <w:pPr>
              <w:pStyle w:val="11"/>
            </w:pPr>
            <w:r>
              <w:t>100.33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97.13</w:t>
            </w:r>
          </w:p>
        </w:tc>
        <w:tc>
          <w:tcPr>
            <w:tcW w:w="1134" w:type="dxa"/>
            <w:vAlign w:val="center"/>
          </w:tcPr>
          <w:p>
            <w:pPr>
              <w:pStyle w:val="11"/>
            </w:pPr>
            <w:r>
              <w:t>97.13</w:t>
            </w:r>
          </w:p>
        </w:tc>
        <w:tc>
          <w:tcPr>
            <w:tcW w:w="1134" w:type="dxa"/>
            <w:vAlign w:val="center"/>
          </w:tcPr>
          <w:p>
            <w:pPr>
              <w:pStyle w:val="11"/>
            </w:pPr>
            <w:r>
              <w:t>97.13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69.13</w:t>
            </w:r>
          </w:p>
        </w:tc>
        <w:tc>
          <w:tcPr>
            <w:tcW w:w="1134" w:type="dxa"/>
            <w:vAlign w:val="center"/>
          </w:tcPr>
          <w:p>
            <w:pPr>
              <w:pStyle w:val="11"/>
            </w:pPr>
            <w:r>
              <w:t>69.13</w:t>
            </w:r>
          </w:p>
        </w:tc>
        <w:tc>
          <w:tcPr>
            <w:tcW w:w="1134" w:type="dxa"/>
            <w:vAlign w:val="center"/>
          </w:tcPr>
          <w:p>
            <w:pPr>
              <w:pStyle w:val="11"/>
            </w:pPr>
            <w:r>
              <w:t>69.13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18.67</w:t>
            </w:r>
          </w:p>
        </w:tc>
        <w:tc>
          <w:tcPr>
            <w:tcW w:w="1134" w:type="dxa"/>
            <w:vAlign w:val="center"/>
          </w:tcPr>
          <w:p>
            <w:pPr>
              <w:pStyle w:val="11"/>
            </w:pPr>
            <w:r>
              <w:t>18.67</w:t>
            </w:r>
          </w:p>
        </w:tc>
        <w:tc>
          <w:tcPr>
            <w:tcW w:w="1134" w:type="dxa"/>
            <w:vAlign w:val="center"/>
          </w:tcPr>
          <w:p>
            <w:pPr>
              <w:pStyle w:val="11"/>
            </w:pPr>
            <w:r>
              <w:t>18.67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9.33</w:t>
            </w:r>
          </w:p>
        </w:tc>
        <w:tc>
          <w:tcPr>
            <w:tcW w:w="1134" w:type="dxa"/>
            <w:vAlign w:val="center"/>
          </w:tcPr>
          <w:p>
            <w:pPr>
              <w:pStyle w:val="11"/>
            </w:pPr>
            <w:r>
              <w:t>9.33</w:t>
            </w:r>
          </w:p>
        </w:tc>
        <w:tc>
          <w:tcPr>
            <w:tcW w:w="1134" w:type="dxa"/>
            <w:vAlign w:val="center"/>
          </w:tcPr>
          <w:p>
            <w:pPr>
              <w:pStyle w:val="11"/>
            </w:pPr>
            <w:r>
              <w:t>9.33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7.71</w:t>
            </w:r>
          </w:p>
        </w:tc>
        <w:tc>
          <w:tcPr>
            <w:tcW w:w="1134" w:type="dxa"/>
            <w:vAlign w:val="center"/>
          </w:tcPr>
          <w:p>
            <w:pPr>
              <w:pStyle w:val="11"/>
            </w:pPr>
            <w:r>
              <w:t>7.71</w:t>
            </w:r>
          </w:p>
        </w:tc>
        <w:tc>
          <w:tcPr>
            <w:tcW w:w="1134" w:type="dxa"/>
            <w:vAlign w:val="center"/>
          </w:tcPr>
          <w:p>
            <w:pPr>
              <w:pStyle w:val="11"/>
            </w:pPr>
            <w:r>
              <w:t>7.71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7.71</w:t>
            </w:r>
          </w:p>
        </w:tc>
        <w:tc>
          <w:tcPr>
            <w:tcW w:w="1134" w:type="dxa"/>
            <w:vAlign w:val="center"/>
          </w:tcPr>
          <w:p>
            <w:pPr>
              <w:pStyle w:val="11"/>
            </w:pPr>
            <w:r>
              <w:t>7.71</w:t>
            </w:r>
          </w:p>
        </w:tc>
        <w:tc>
          <w:tcPr>
            <w:tcW w:w="1134" w:type="dxa"/>
            <w:vAlign w:val="center"/>
          </w:tcPr>
          <w:p>
            <w:pPr>
              <w:pStyle w:val="11"/>
            </w:pPr>
            <w:r>
              <w:t>7.71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4.54</w:t>
            </w:r>
          </w:p>
        </w:tc>
        <w:tc>
          <w:tcPr>
            <w:tcW w:w="1134" w:type="dxa"/>
            <w:vAlign w:val="center"/>
          </w:tcPr>
          <w:p>
            <w:pPr>
              <w:pStyle w:val="11"/>
            </w:pPr>
            <w:r>
              <w:t>4.54</w:t>
            </w:r>
          </w:p>
        </w:tc>
        <w:tc>
          <w:tcPr>
            <w:tcW w:w="1134" w:type="dxa"/>
            <w:vAlign w:val="center"/>
          </w:tcPr>
          <w:p>
            <w:pPr>
              <w:pStyle w:val="11"/>
            </w:pPr>
            <w:r>
              <w:t>4.54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3.17</w:t>
            </w:r>
          </w:p>
        </w:tc>
        <w:tc>
          <w:tcPr>
            <w:tcW w:w="1134" w:type="dxa"/>
            <w:vAlign w:val="center"/>
          </w:tcPr>
          <w:p>
            <w:pPr>
              <w:pStyle w:val="11"/>
            </w:pPr>
            <w:r>
              <w:t>3.17</w:t>
            </w:r>
          </w:p>
        </w:tc>
        <w:tc>
          <w:tcPr>
            <w:tcW w:w="1134" w:type="dxa"/>
            <w:vAlign w:val="center"/>
          </w:tcPr>
          <w:p>
            <w:pPr>
              <w:pStyle w:val="11"/>
            </w:pPr>
            <w:r>
              <w:t>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6054.90</w:t>
            </w:r>
          </w:p>
        </w:tc>
        <w:tc>
          <w:tcPr>
            <w:tcW w:w="1134" w:type="dxa"/>
            <w:vAlign w:val="center"/>
          </w:tcPr>
          <w:p>
            <w:pPr>
              <w:pStyle w:val="11"/>
            </w:pPr>
            <w:r>
              <w:t>6054.90</w:t>
            </w:r>
          </w:p>
        </w:tc>
        <w:tc>
          <w:tcPr>
            <w:tcW w:w="1134" w:type="dxa"/>
            <w:vAlign w:val="center"/>
          </w:tcPr>
          <w:p>
            <w:pPr>
              <w:pStyle w:val="11"/>
            </w:pPr>
            <w:r>
              <w:t>6054.90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2347.90</w:t>
            </w:r>
          </w:p>
        </w:tc>
        <w:tc>
          <w:tcPr>
            <w:tcW w:w="1134" w:type="dxa"/>
            <w:vAlign w:val="center"/>
          </w:tcPr>
          <w:p>
            <w:pPr>
              <w:pStyle w:val="11"/>
            </w:pPr>
            <w:r>
              <w:t>2347.90</w:t>
            </w:r>
          </w:p>
        </w:tc>
        <w:tc>
          <w:tcPr>
            <w:tcW w:w="1134" w:type="dxa"/>
            <w:vAlign w:val="center"/>
          </w:tcPr>
          <w:p>
            <w:pPr>
              <w:pStyle w:val="11"/>
            </w:pPr>
            <w:r>
              <w:t>2347.90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213.81</w:t>
            </w:r>
          </w:p>
        </w:tc>
        <w:tc>
          <w:tcPr>
            <w:tcW w:w="1134" w:type="dxa"/>
            <w:vAlign w:val="center"/>
          </w:tcPr>
          <w:p>
            <w:pPr>
              <w:pStyle w:val="11"/>
            </w:pPr>
            <w:r>
              <w:t>213.81</w:t>
            </w:r>
          </w:p>
        </w:tc>
        <w:tc>
          <w:tcPr>
            <w:tcW w:w="1134" w:type="dxa"/>
            <w:vAlign w:val="center"/>
          </w:tcPr>
          <w:p>
            <w:pPr>
              <w:pStyle w:val="11"/>
            </w:pPr>
            <w:r>
              <w:t>213.81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1"/>
            </w:pPr>
            <w:r>
              <w:t>120.00</w:t>
            </w:r>
          </w:p>
        </w:tc>
        <w:tc>
          <w:tcPr>
            <w:tcW w:w="1134" w:type="dxa"/>
            <w:vAlign w:val="center"/>
          </w:tcPr>
          <w:p>
            <w:pPr>
              <w:pStyle w:val="11"/>
            </w:pPr>
            <w:r>
              <w:t>120.00</w:t>
            </w:r>
          </w:p>
        </w:tc>
        <w:tc>
          <w:tcPr>
            <w:tcW w:w="1134" w:type="dxa"/>
            <w:vAlign w:val="center"/>
          </w:tcPr>
          <w:p>
            <w:pPr>
              <w:pStyle w:val="11"/>
            </w:pPr>
            <w:r>
              <w:t>120.00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1"/>
            </w:pPr>
            <w:r>
              <w:t>2014.09</w:t>
            </w:r>
          </w:p>
        </w:tc>
        <w:tc>
          <w:tcPr>
            <w:tcW w:w="1134" w:type="dxa"/>
            <w:vAlign w:val="center"/>
          </w:tcPr>
          <w:p>
            <w:pPr>
              <w:pStyle w:val="11"/>
            </w:pPr>
            <w:r>
              <w:t>2014.09</w:t>
            </w:r>
          </w:p>
        </w:tc>
        <w:tc>
          <w:tcPr>
            <w:tcW w:w="1134" w:type="dxa"/>
            <w:vAlign w:val="center"/>
          </w:tcPr>
          <w:p>
            <w:pPr>
              <w:pStyle w:val="11"/>
            </w:pPr>
            <w:r>
              <w:t>2014.09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2120303</w:t>
            </w:r>
          </w:p>
        </w:tc>
        <w:tc>
          <w:tcPr>
            <w:tcW w:w="1559" w:type="dxa"/>
            <w:vAlign w:val="center"/>
          </w:tcPr>
          <w:p>
            <w:pPr>
              <w:pStyle w:val="12"/>
            </w:pPr>
            <w:r>
              <w:t>小城镇基础设施建设</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3607.00</w:t>
            </w:r>
          </w:p>
        </w:tc>
        <w:tc>
          <w:tcPr>
            <w:tcW w:w="1134" w:type="dxa"/>
            <w:vAlign w:val="center"/>
          </w:tcPr>
          <w:p>
            <w:pPr>
              <w:pStyle w:val="11"/>
            </w:pPr>
            <w:r>
              <w:t>3607.00</w:t>
            </w:r>
          </w:p>
        </w:tc>
        <w:tc>
          <w:tcPr>
            <w:tcW w:w="1134" w:type="dxa"/>
            <w:vAlign w:val="center"/>
          </w:tcPr>
          <w:p>
            <w:pPr>
              <w:pStyle w:val="11"/>
            </w:pPr>
            <w:r>
              <w:t>3607.00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3607.00</w:t>
            </w:r>
          </w:p>
        </w:tc>
        <w:tc>
          <w:tcPr>
            <w:tcW w:w="1134" w:type="dxa"/>
            <w:vAlign w:val="center"/>
          </w:tcPr>
          <w:p>
            <w:pPr>
              <w:pStyle w:val="11"/>
            </w:pPr>
            <w:r>
              <w:t>3607.00</w:t>
            </w:r>
          </w:p>
        </w:tc>
        <w:tc>
          <w:tcPr>
            <w:tcW w:w="1134" w:type="dxa"/>
            <w:vAlign w:val="center"/>
          </w:tcPr>
          <w:p>
            <w:pPr>
              <w:pStyle w:val="11"/>
            </w:pPr>
            <w:r>
              <w:t>3607.00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r>
              <w:t>12.12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6175.06</w:t>
            </w:r>
          </w:p>
        </w:tc>
        <w:tc>
          <w:tcPr>
            <w:tcW w:w="1361" w:type="dxa"/>
            <w:vAlign w:val="center"/>
          </w:tcPr>
          <w:p>
            <w:pPr>
              <w:pStyle w:val="15"/>
            </w:pPr>
            <w:r>
              <w:t>2348.06</w:t>
            </w:r>
          </w:p>
        </w:tc>
        <w:tc>
          <w:tcPr>
            <w:tcW w:w="1361" w:type="dxa"/>
            <w:vAlign w:val="center"/>
          </w:tcPr>
          <w:p>
            <w:pPr>
              <w:pStyle w:val="15"/>
            </w:pPr>
            <w:r>
              <w:t>3827.00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100.33</w:t>
            </w:r>
          </w:p>
        </w:tc>
        <w:tc>
          <w:tcPr>
            <w:tcW w:w="1361" w:type="dxa"/>
            <w:vAlign w:val="center"/>
          </w:tcPr>
          <w:p>
            <w:pPr>
              <w:pStyle w:val="11"/>
            </w:pPr>
            <w:r>
              <w:t>100.33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97.13</w:t>
            </w:r>
          </w:p>
        </w:tc>
        <w:tc>
          <w:tcPr>
            <w:tcW w:w="1361" w:type="dxa"/>
            <w:vAlign w:val="center"/>
          </w:tcPr>
          <w:p>
            <w:pPr>
              <w:pStyle w:val="11"/>
            </w:pPr>
            <w:r>
              <w:t>97.13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69.13</w:t>
            </w:r>
          </w:p>
        </w:tc>
        <w:tc>
          <w:tcPr>
            <w:tcW w:w="1361" w:type="dxa"/>
            <w:vAlign w:val="center"/>
          </w:tcPr>
          <w:p>
            <w:pPr>
              <w:pStyle w:val="11"/>
            </w:pPr>
            <w:r>
              <w:t>69.13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18.67</w:t>
            </w:r>
          </w:p>
        </w:tc>
        <w:tc>
          <w:tcPr>
            <w:tcW w:w="1361" w:type="dxa"/>
            <w:vAlign w:val="center"/>
          </w:tcPr>
          <w:p>
            <w:pPr>
              <w:pStyle w:val="11"/>
            </w:pPr>
            <w:r>
              <w:t>18.67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9.33</w:t>
            </w:r>
          </w:p>
        </w:tc>
        <w:tc>
          <w:tcPr>
            <w:tcW w:w="1361" w:type="dxa"/>
            <w:vAlign w:val="center"/>
          </w:tcPr>
          <w:p>
            <w:pPr>
              <w:pStyle w:val="11"/>
            </w:pPr>
            <w:r>
              <w:t>9.33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3.20</w:t>
            </w: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3.20</w:t>
            </w: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7.71</w:t>
            </w:r>
          </w:p>
        </w:tc>
        <w:tc>
          <w:tcPr>
            <w:tcW w:w="1361" w:type="dxa"/>
            <w:vAlign w:val="center"/>
          </w:tcPr>
          <w:p>
            <w:pPr>
              <w:pStyle w:val="11"/>
            </w:pPr>
            <w:r>
              <w:t>7.71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7.71</w:t>
            </w:r>
          </w:p>
        </w:tc>
        <w:tc>
          <w:tcPr>
            <w:tcW w:w="1361" w:type="dxa"/>
            <w:vAlign w:val="center"/>
          </w:tcPr>
          <w:p>
            <w:pPr>
              <w:pStyle w:val="11"/>
            </w:pPr>
            <w:r>
              <w:t>7.71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4.54</w:t>
            </w:r>
          </w:p>
        </w:tc>
        <w:tc>
          <w:tcPr>
            <w:tcW w:w="1361" w:type="dxa"/>
            <w:vAlign w:val="center"/>
          </w:tcPr>
          <w:p>
            <w:pPr>
              <w:pStyle w:val="11"/>
            </w:pPr>
            <w:r>
              <w:t>4.54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3.17</w:t>
            </w:r>
          </w:p>
        </w:tc>
        <w:tc>
          <w:tcPr>
            <w:tcW w:w="1361" w:type="dxa"/>
            <w:vAlign w:val="center"/>
          </w:tcPr>
          <w:p>
            <w:pPr>
              <w:pStyle w:val="11"/>
            </w:pPr>
            <w:r>
              <w:t>3.17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6054.90</w:t>
            </w:r>
          </w:p>
        </w:tc>
        <w:tc>
          <w:tcPr>
            <w:tcW w:w="1361" w:type="dxa"/>
            <w:vAlign w:val="center"/>
          </w:tcPr>
          <w:p>
            <w:pPr>
              <w:pStyle w:val="11"/>
            </w:pPr>
            <w:r>
              <w:t>2227.90</w:t>
            </w:r>
          </w:p>
        </w:tc>
        <w:tc>
          <w:tcPr>
            <w:tcW w:w="1361" w:type="dxa"/>
            <w:vAlign w:val="center"/>
          </w:tcPr>
          <w:p>
            <w:pPr>
              <w:pStyle w:val="11"/>
            </w:pPr>
            <w:r>
              <w:t>3827.00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2347.90</w:t>
            </w:r>
          </w:p>
        </w:tc>
        <w:tc>
          <w:tcPr>
            <w:tcW w:w="1361" w:type="dxa"/>
            <w:vAlign w:val="center"/>
          </w:tcPr>
          <w:p>
            <w:pPr>
              <w:pStyle w:val="11"/>
            </w:pPr>
            <w:r>
              <w:t>2227.90</w:t>
            </w: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213.81</w:t>
            </w:r>
          </w:p>
        </w:tc>
        <w:tc>
          <w:tcPr>
            <w:tcW w:w="1361" w:type="dxa"/>
            <w:vAlign w:val="center"/>
          </w:tcPr>
          <w:p>
            <w:pPr>
              <w:pStyle w:val="11"/>
            </w:pPr>
            <w:r>
              <w:t>213.81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1"/>
            </w:pPr>
            <w:r>
              <w:t>2014.09</w:t>
            </w:r>
          </w:p>
        </w:tc>
        <w:tc>
          <w:tcPr>
            <w:tcW w:w="1361" w:type="dxa"/>
            <w:vAlign w:val="center"/>
          </w:tcPr>
          <w:p>
            <w:pPr>
              <w:pStyle w:val="11"/>
            </w:pPr>
            <w:r>
              <w:t>2014.09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2120303</w:t>
            </w:r>
          </w:p>
        </w:tc>
        <w:tc>
          <w:tcPr>
            <w:tcW w:w="4535" w:type="dxa"/>
            <w:vAlign w:val="center"/>
          </w:tcPr>
          <w:p>
            <w:pPr>
              <w:pStyle w:val="12"/>
            </w:pPr>
            <w:r>
              <w:t>小城镇基础设施建设</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3607.00</w:t>
            </w:r>
          </w:p>
        </w:tc>
        <w:tc>
          <w:tcPr>
            <w:tcW w:w="1361" w:type="dxa"/>
            <w:vAlign w:val="center"/>
          </w:tcPr>
          <w:p>
            <w:pPr>
              <w:pStyle w:val="11"/>
            </w:pPr>
          </w:p>
        </w:tc>
        <w:tc>
          <w:tcPr>
            <w:tcW w:w="1361" w:type="dxa"/>
            <w:vAlign w:val="center"/>
          </w:tcPr>
          <w:p>
            <w:pPr>
              <w:pStyle w:val="11"/>
            </w:pPr>
            <w:r>
              <w:t>3607.00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3607.00</w:t>
            </w:r>
          </w:p>
        </w:tc>
        <w:tc>
          <w:tcPr>
            <w:tcW w:w="1361" w:type="dxa"/>
            <w:vAlign w:val="center"/>
          </w:tcPr>
          <w:p>
            <w:pPr>
              <w:pStyle w:val="11"/>
            </w:pPr>
          </w:p>
        </w:tc>
        <w:tc>
          <w:tcPr>
            <w:tcW w:w="1361" w:type="dxa"/>
            <w:vAlign w:val="center"/>
          </w:tcPr>
          <w:p>
            <w:pPr>
              <w:pStyle w:val="11"/>
            </w:pPr>
            <w:r>
              <w:t>3607.00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12.12</w:t>
            </w:r>
          </w:p>
        </w:tc>
        <w:tc>
          <w:tcPr>
            <w:tcW w:w="1361" w:type="dxa"/>
            <w:vAlign w:val="center"/>
          </w:tcPr>
          <w:p>
            <w:pPr>
              <w:pStyle w:val="11"/>
            </w:pPr>
            <w:r>
              <w:t>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12.12</w:t>
            </w:r>
          </w:p>
        </w:tc>
        <w:tc>
          <w:tcPr>
            <w:tcW w:w="1361" w:type="dxa"/>
            <w:vAlign w:val="center"/>
          </w:tcPr>
          <w:p>
            <w:pPr>
              <w:pStyle w:val="11"/>
            </w:pPr>
            <w:r>
              <w:t>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12.12</w:t>
            </w:r>
          </w:p>
        </w:tc>
        <w:tc>
          <w:tcPr>
            <w:tcW w:w="1361" w:type="dxa"/>
            <w:vAlign w:val="center"/>
          </w:tcPr>
          <w:p>
            <w:pPr>
              <w:pStyle w:val="11"/>
            </w:pPr>
            <w:r>
              <w:t>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6175.06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100.33</w:t>
            </w:r>
          </w:p>
        </w:tc>
        <w:tc>
          <w:tcPr>
            <w:tcW w:w="1474" w:type="dxa"/>
            <w:vAlign w:val="center"/>
          </w:tcPr>
          <w:p>
            <w:pPr>
              <w:pStyle w:val="11"/>
            </w:pPr>
            <w:r>
              <w:t>100.33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7.71</w:t>
            </w:r>
          </w:p>
        </w:tc>
        <w:tc>
          <w:tcPr>
            <w:tcW w:w="1474" w:type="dxa"/>
            <w:vAlign w:val="center"/>
          </w:tcPr>
          <w:p>
            <w:pPr>
              <w:pStyle w:val="11"/>
            </w:pPr>
            <w:r>
              <w:t>7.71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6054.90</w:t>
            </w:r>
          </w:p>
        </w:tc>
        <w:tc>
          <w:tcPr>
            <w:tcW w:w="1474" w:type="dxa"/>
            <w:vAlign w:val="center"/>
          </w:tcPr>
          <w:p>
            <w:pPr>
              <w:pStyle w:val="11"/>
            </w:pPr>
            <w:r>
              <w:t>6054.90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12.12</w:t>
            </w:r>
          </w:p>
        </w:tc>
        <w:tc>
          <w:tcPr>
            <w:tcW w:w="1474" w:type="dxa"/>
            <w:vAlign w:val="center"/>
          </w:tcPr>
          <w:p>
            <w:pPr>
              <w:pStyle w:val="11"/>
            </w:pPr>
            <w:r>
              <w:t>12.12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6175.06</w:t>
            </w:r>
          </w:p>
        </w:tc>
        <w:tc>
          <w:tcPr>
            <w:tcW w:w="3402" w:type="dxa"/>
            <w:vAlign w:val="center"/>
          </w:tcPr>
          <w:p>
            <w:pPr>
              <w:pStyle w:val="14"/>
            </w:pPr>
            <w:r>
              <w:t>本年支出合计</w:t>
            </w:r>
          </w:p>
        </w:tc>
        <w:tc>
          <w:tcPr>
            <w:tcW w:w="1474" w:type="dxa"/>
            <w:vAlign w:val="center"/>
          </w:tcPr>
          <w:p>
            <w:pPr>
              <w:pStyle w:val="15"/>
            </w:pPr>
            <w:r>
              <w:t>6175.06</w:t>
            </w:r>
          </w:p>
        </w:tc>
        <w:tc>
          <w:tcPr>
            <w:tcW w:w="1474" w:type="dxa"/>
            <w:vAlign w:val="center"/>
          </w:tcPr>
          <w:p>
            <w:pPr>
              <w:pStyle w:val="15"/>
            </w:pPr>
            <w:r>
              <w:t>6175.06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6175.06</w:t>
            </w:r>
          </w:p>
        </w:tc>
        <w:tc>
          <w:tcPr>
            <w:tcW w:w="3402" w:type="dxa"/>
            <w:vAlign w:val="center"/>
          </w:tcPr>
          <w:p>
            <w:pPr>
              <w:pStyle w:val="14"/>
            </w:pPr>
            <w:r>
              <w:t>支出总计</w:t>
            </w:r>
          </w:p>
        </w:tc>
        <w:tc>
          <w:tcPr>
            <w:tcW w:w="1474" w:type="dxa"/>
            <w:vAlign w:val="center"/>
          </w:tcPr>
          <w:p>
            <w:pPr>
              <w:pStyle w:val="15"/>
            </w:pPr>
            <w:r>
              <w:t>6175.06</w:t>
            </w:r>
          </w:p>
        </w:tc>
        <w:tc>
          <w:tcPr>
            <w:tcW w:w="1474" w:type="dxa"/>
            <w:vAlign w:val="center"/>
          </w:tcPr>
          <w:p>
            <w:pPr>
              <w:pStyle w:val="15"/>
            </w:pPr>
            <w:r>
              <w:t>6175.06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6175.06</w:t>
            </w:r>
          </w:p>
        </w:tc>
        <w:tc>
          <w:tcPr>
            <w:tcW w:w="2551" w:type="dxa"/>
            <w:vAlign w:val="center"/>
          </w:tcPr>
          <w:p>
            <w:pPr>
              <w:pStyle w:val="15"/>
            </w:pPr>
            <w:r>
              <w:t>2348.06</w:t>
            </w:r>
          </w:p>
        </w:tc>
        <w:tc>
          <w:tcPr>
            <w:tcW w:w="2551" w:type="dxa"/>
            <w:vAlign w:val="center"/>
          </w:tcPr>
          <w:p>
            <w:pPr>
              <w:pStyle w:val="15"/>
            </w:pPr>
            <w:r>
              <w:t>3827.00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100.33</w:t>
            </w:r>
          </w:p>
        </w:tc>
        <w:tc>
          <w:tcPr>
            <w:tcW w:w="2551" w:type="dxa"/>
            <w:vAlign w:val="center"/>
          </w:tcPr>
          <w:p>
            <w:pPr>
              <w:pStyle w:val="11"/>
            </w:pPr>
            <w:r>
              <w:t>100.33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97.13</w:t>
            </w:r>
          </w:p>
        </w:tc>
        <w:tc>
          <w:tcPr>
            <w:tcW w:w="2551" w:type="dxa"/>
            <w:vAlign w:val="center"/>
          </w:tcPr>
          <w:p>
            <w:pPr>
              <w:pStyle w:val="11"/>
            </w:pPr>
            <w:r>
              <w:t>97.13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69.13</w:t>
            </w:r>
          </w:p>
        </w:tc>
        <w:tc>
          <w:tcPr>
            <w:tcW w:w="2551" w:type="dxa"/>
            <w:vAlign w:val="center"/>
          </w:tcPr>
          <w:p>
            <w:pPr>
              <w:pStyle w:val="11"/>
            </w:pPr>
            <w:r>
              <w:t>69.13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18.67</w:t>
            </w:r>
          </w:p>
        </w:tc>
        <w:tc>
          <w:tcPr>
            <w:tcW w:w="2551" w:type="dxa"/>
            <w:vAlign w:val="center"/>
          </w:tcPr>
          <w:p>
            <w:pPr>
              <w:pStyle w:val="11"/>
            </w:pPr>
            <w:r>
              <w:t>18.67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9.33</w:t>
            </w:r>
          </w:p>
        </w:tc>
        <w:tc>
          <w:tcPr>
            <w:tcW w:w="2551" w:type="dxa"/>
            <w:vAlign w:val="center"/>
          </w:tcPr>
          <w:p>
            <w:pPr>
              <w:pStyle w:val="11"/>
            </w:pPr>
            <w:r>
              <w:t>9.33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7.71</w:t>
            </w:r>
          </w:p>
        </w:tc>
        <w:tc>
          <w:tcPr>
            <w:tcW w:w="2551" w:type="dxa"/>
            <w:vAlign w:val="center"/>
          </w:tcPr>
          <w:p>
            <w:pPr>
              <w:pStyle w:val="11"/>
            </w:pPr>
            <w:r>
              <w:t>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7.71</w:t>
            </w:r>
          </w:p>
        </w:tc>
        <w:tc>
          <w:tcPr>
            <w:tcW w:w="2551" w:type="dxa"/>
            <w:vAlign w:val="center"/>
          </w:tcPr>
          <w:p>
            <w:pPr>
              <w:pStyle w:val="11"/>
            </w:pPr>
            <w:r>
              <w:t>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4.54</w:t>
            </w:r>
          </w:p>
        </w:tc>
        <w:tc>
          <w:tcPr>
            <w:tcW w:w="2551" w:type="dxa"/>
            <w:vAlign w:val="center"/>
          </w:tcPr>
          <w:p>
            <w:pPr>
              <w:pStyle w:val="11"/>
            </w:pPr>
            <w:r>
              <w:t>4.54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3.17</w:t>
            </w:r>
          </w:p>
        </w:tc>
        <w:tc>
          <w:tcPr>
            <w:tcW w:w="2551" w:type="dxa"/>
            <w:vAlign w:val="center"/>
          </w:tcPr>
          <w:p>
            <w:pPr>
              <w:pStyle w:val="11"/>
            </w:pPr>
            <w:r>
              <w:t>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6054.90</w:t>
            </w:r>
          </w:p>
        </w:tc>
        <w:tc>
          <w:tcPr>
            <w:tcW w:w="2551" w:type="dxa"/>
            <w:vAlign w:val="center"/>
          </w:tcPr>
          <w:p>
            <w:pPr>
              <w:pStyle w:val="11"/>
            </w:pPr>
            <w:r>
              <w:t>2227.90</w:t>
            </w:r>
          </w:p>
        </w:tc>
        <w:tc>
          <w:tcPr>
            <w:tcW w:w="2551" w:type="dxa"/>
            <w:vAlign w:val="center"/>
          </w:tcPr>
          <w:p>
            <w:pPr>
              <w:pStyle w:val="11"/>
            </w:pPr>
            <w:r>
              <w:t>3827.00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2347.90</w:t>
            </w:r>
          </w:p>
        </w:tc>
        <w:tc>
          <w:tcPr>
            <w:tcW w:w="2551" w:type="dxa"/>
            <w:vAlign w:val="center"/>
          </w:tcPr>
          <w:p>
            <w:pPr>
              <w:pStyle w:val="11"/>
            </w:pPr>
            <w:r>
              <w:t>2227.90</w:t>
            </w:r>
          </w:p>
        </w:tc>
        <w:tc>
          <w:tcPr>
            <w:tcW w:w="2551" w:type="dxa"/>
            <w:vAlign w:val="center"/>
          </w:tcPr>
          <w:p>
            <w:pPr>
              <w:pStyle w:val="11"/>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213.81</w:t>
            </w:r>
          </w:p>
        </w:tc>
        <w:tc>
          <w:tcPr>
            <w:tcW w:w="2551" w:type="dxa"/>
            <w:vAlign w:val="center"/>
          </w:tcPr>
          <w:p>
            <w:pPr>
              <w:pStyle w:val="11"/>
            </w:pPr>
            <w:r>
              <w:t>213.81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1"/>
            </w:pPr>
            <w:r>
              <w:t>120.00</w:t>
            </w:r>
          </w:p>
        </w:tc>
        <w:tc>
          <w:tcPr>
            <w:tcW w:w="2551" w:type="dxa"/>
            <w:vAlign w:val="center"/>
          </w:tcPr>
          <w:p>
            <w:pPr>
              <w:pStyle w:val="11"/>
            </w:pPr>
          </w:p>
        </w:tc>
        <w:tc>
          <w:tcPr>
            <w:tcW w:w="2551" w:type="dxa"/>
            <w:vAlign w:val="center"/>
          </w:tcPr>
          <w:p>
            <w:pPr>
              <w:pStyle w:val="11"/>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1"/>
            </w:pPr>
            <w:r>
              <w:t>2014.09</w:t>
            </w:r>
          </w:p>
        </w:tc>
        <w:tc>
          <w:tcPr>
            <w:tcW w:w="2551" w:type="dxa"/>
            <w:vAlign w:val="center"/>
          </w:tcPr>
          <w:p>
            <w:pPr>
              <w:pStyle w:val="11"/>
            </w:pPr>
            <w:r>
              <w:t>2014.09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2120303</w:t>
            </w:r>
          </w:p>
        </w:tc>
        <w:tc>
          <w:tcPr>
            <w:tcW w:w="4535" w:type="dxa"/>
            <w:vAlign w:val="center"/>
          </w:tcPr>
          <w:p>
            <w:pPr>
              <w:pStyle w:val="12"/>
            </w:pPr>
            <w:r>
              <w:t>小城镇基础设施建设</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3607.00</w:t>
            </w:r>
          </w:p>
        </w:tc>
        <w:tc>
          <w:tcPr>
            <w:tcW w:w="2551" w:type="dxa"/>
            <w:vAlign w:val="center"/>
          </w:tcPr>
          <w:p>
            <w:pPr>
              <w:pStyle w:val="11"/>
            </w:pPr>
          </w:p>
        </w:tc>
        <w:tc>
          <w:tcPr>
            <w:tcW w:w="2551" w:type="dxa"/>
            <w:vAlign w:val="center"/>
          </w:tcPr>
          <w:p>
            <w:pPr>
              <w:pStyle w:val="11"/>
            </w:pPr>
            <w:r>
              <w:t>3607.00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3607.00</w:t>
            </w:r>
          </w:p>
        </w:tc>
        <w:tc>
          <w:tcPr>
            <w:tcW w:w="2551" w:type="dxa"/>
            <w:vAlign w:val="center"/>
          </w:tcPr>
          <w:p>
            <w:pPr>
              <w:pStyle w:val="11"/>
            </w:pPr>
          </w:p>
        </w:tc>
        <w:tc>
          <w:tcPr>
            <w:tcW w:w="2551" w:type="dxa"/>
            <w:vAlign w:val="center"/>
          </w:tcPr>
          <w:p>
            <w:pPr>
              <w:pStyle w:val="11"/>
            </w:pPr>
            <w:r>
              <w:t>3607.00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12.12</w:t>
            </w:r>
          </w:p>
        </w:tc>
        <w:tc>
          <w:tcPr>
            <w:tcW w:w="2551" w:type="dxa"/>
            <w:vAlign w:val="center"/>
          </w:tcPr>
          <w:p>
            <w:pPr>
              <w:pStyle w:val="11"/>
            </w:pPr>
            <w:r>
              <w:t>12.12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12.12</w:t>
            </w:r>
          </w:p>
        </w:tc>
        <w:tc>
          <w:tcPr>
            <w:tcW w:w="2551" w:type="dxa"/>
            <w:vAlign w:val="center"/>
          </w:tcPr>
          <w:p>
            <w:pPr>
              <w:pStyle w:val="11"/>
            </w:pPr>
            <w:r>
              <w:t>12.12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12.12</w:t>
            </w:r>
          </w:p>
        </w:tc>
        <w:tc>
          <w:tcPr>
            <w:tcW w:w="2551" w:type="dxa"/>
            <w:vAlign w:val="center"/>
          </w:tcPr>
          <w:p>
            <w:pPr>
              <w:pStyle w:val="11"/>
            </w:pPr>
            <w:r>
              <w:t>12.12</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2348.06</w:t>
            </w:r>
          </w:p>
        </w:tc>
        <w:tc>
          <w:tcPr>
            <w:tcW w:w="2551" w:type="dxa"/>
            <w:vAlign w:val="center"/>
          </w:tcPr>
          <w:p>
            <w:pPr>
              <w:pStyle w:val="15"/>
            </w:pPr>
            <w:r>
              <w:t>2209.17</w:t>
            </w:r>
          </w:p>
        </w:tc>
        <w:tc>
          <w:tcPr>
            <w:tcW w:w="2551" w:type="dxa"/>
            <w:vAlign w:val="center"/>
          </w:tcPr>
          <w:p>
            <w:pPr>
              <w:pStyle w:val="15"/>
            </w:pPr>
            <w:r>
              <w:t>138.89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2136.85</w:t>
            </w:r>
          </w:p>
        </w:tc>
        <w:tc>
          <w:tcPr>
            <w:tcW w:w="2551" w:type="dxa"/>
            <w:vAlign w:val="center"/>
          </w:tcPr>
          <w:p>
            <w:pPr>
              <w:pStyle w:val="11"/>
            </w:pPr>
            <w:r>
              <w:t>2136.85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76.57</w:t>
            </w:r>
          </w:p>
        </w:tc>
        <w:tc>
          <w:tcPr>
            <w:tcW w:w="2551" w:type="dxa"/>
            <w:vAlign w:val="center"/>
          </w:tcPr>
          <w:p>
            <w:pPr>
              <w:pStyle w:val="11"/>
            </w:pPr>
            <w:r>
              <w:t>76.57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21.10</w:t>
            </w:r>
          </w:p>
        </w:tc>
        <w:tc>
          <w:tcPr>
            <w:tcW w:w="2551" w:type="dxa"/>
            <w:vAlign w:val="center"/>
          </w:tcPr>
          <w:p>
            <w:pPr>
              <w:pStyle w:val="11"/>
            </w:pPr>
            <w:r>
              <w:t>21.10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12.31</w:t>
            </w:r>
          </w:p>
        </w:tc>
        <w:tc>
          <w:tcPr>
            <w:tcW w:w="2551" w:type="dxa"/>
            <w:vAlign w:val="center"/>
          </w:tcPr>
          <w:p>
            <w:pPr>
              <w:pStyle w:val="11"/>
            </w:pPr>
            <w:r>
              <w:t>12.31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18.31</w:t>
            </w:r>
          </w:p>
        </w:tc>
        <w:tc>
          <w:tcPr>
            <w:tcW w:w="2551" w:type="dxa"/>
            <w:vAlign w:val="center"/>
          </w:tcPr>
          <w:p>
            <w:pPr>
              <w:pStyle w:val="11"/>
            </w:pPr>
            <w:r>
              <w:t>18.31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18.67</w:t>
            </w:r>
          </w:p>
        </w:tc>
        <w:tc>
          <w:tcPr>
            <w:tcW w:w="2551" w:type="dxa"/>
            <w:vAlign w:val="center"/>
          </w:tcPr>
          <w:p>
            <w:pPr>
              <w:pStyle w:val="11"/>
            </w:pPr>
            <w:r>
              <w:t>18.67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9.33</w:t>
            </w:r>
          </w:p>
        </w:tc>
        <w:tc>
          <w:tcPr>
            <w:tcW w:w="2551" w:type="dxa"/>
            <w:vAlign w:val="center"/>
          </w:tcPr>
          <w:p>
            <w:pPr>
              <w:pStyle w:val="11"/>
            </w:pPr>
            <w:r>
              <w:t>9.33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7.71</w:t>
            </w:r>
          </w:p>
        </w:tc>
        <w:tc>
          <w:tcPr>
            <w:tcW w:w="2551" w:type="dxa"/>
            <w:vAlign w:val="center"/>
          </w:tcPr>
          <w:p>
            <w:pPr>
              <w:pStyle w:val="11"/>
            </w:pPr>
            <w:r>
              <w:t>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0.85</w:t>
            </w:r>
          </w:p>
        </w:tc>
        <w:tc>
          <w:tcPr>
            <w:tcW w:w="2551" w:type="dxa"/>
            <w:vAlign w:val="center"/>
          </w:tcPr>
          <w:p>
            <w:pPr>
              <w:pStyle w:val="11"/>
            </w:pPr>
            <w:r>
              <w:t>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12.12</w:t>
            </w:r>
          </w:p>
        </w:tc>
        <w:tc>
          <w:tcPr>
            <w:tcW w:w="2551" w:type="dxa"/>
            <w:vAlign w:val="center"/>
          </w:tcPr>
          <w:p>
            <w:pPr>
              <w:pStyle w:val="11"/>
            </w:pPr>
            <w:r>
              <w:t>12.12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1959.88</w:t>
            </w:r>
          </w:p>
        </w:tc>
        <w:tc>
          <w:tcPr>
            <w:tcW w:w="2551" w:type="dxa"/>
            <w:vAlign w:val="center"/>
          </w:tcPr>
          <w:p>
            <w:pPr>
              <w:pStyle w:val="11"/>
            </w:pPr>
            <w:r>
              <w:t>1959.88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138.89</w:t>
            </w:r>
          </w:p>
        </w:tc>
        <w:tc>
          <w:tcPr>
            <w:tcW w:w="2551" w:type="dxa"/>
            <w:vAlign w:val="center"/>
          </w:tcPr>
          <w:p>
            <w:pPr>
              <w:pStyle w:val="11"/>
            </w:pPr>
          </w:p>
        </w:tc>
        <w:tc>
          <w:tcPr>
            <w:tcW w:w="2551" w:type="dxa"/>
            <w:vAlign w:val="center"/>
          </w:tcPr>
          <w:p>
            <w:pPr>
              <w:pStyle w:val="11"/>
            </w:pPr>
            <w:r>
              <w:t>138.89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20.84</w:t>
            </w:r>
          </w:p>
        </w:tc>
        <w:tc>
          <w:tcPr>
            <w:tcW w:w="2551" w:type="dxa"/>
            <w:vAlign w:val="center"/>
          </w:tcPr>
          <w:p>
            <w:pPr>
              <w:pStyle w:val="11"/>
            </w:pPr>
          </w:p>
        </w:tc>
        <w:tc>
          <w:tcPr>
            <w:tcW w:w="2551" w:type="dxa"/>
            <w:vAlign w:val="center"/>
          </w:tcPr>
          <w:p>
            <w:pPr>
              <w:pStyle w:val="11"/>
            </w:pPr>
            <w:r>
              <w:t>20.84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28.63</w:t>
            </w:r>
          </w:p>
        </w:tc>
        <w:tc>
          <w:tcPr>
            <w:tcW w:w="2551" w:type="dxa"/>
            <w:vAlign w:val="center"/>
          </w:tcPr>
          <w:p>
            <w:pPr>
              <w:pStyle w:val="11"/>
            </w:pPr>
          </w:p>
        </w:tc>
        <w:tc>
          <w:tcPr>
            <w:tcW w:w="2551" w:type="dxa"/>
            <w:vAlign w:val="center"/>
          </w:tcPr>
          <w:p>
            <w:pPr>
              <w:pStyle w:val="11"/>
            </w:pPr>
            <w:r>
              <w:t>28.63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12.37</w:t>
            </w:r>
          </w:p>
        </w:tc>
        <w:tc>
          <w:tcPr>
            <w:tcW w:w="2551" w:type="dxa"/>
            <w:vAlign w:val="center"/>
          </w:tcPr>
          <w:p>
            <w:pPr>
              <w:pStyle w:val="11"/>
            </w:pPr>
          </w:p>
        </w:tc>
        <w:tc>
          <w:tcPr>
            <w:tcW w:w="2551" w:type="dxa"/>
            <w:vAlign w:val="center"/>
          </w:tcPr>
          <w:p>
            <w:pPr>
              <w:pStyle w:val="11"/>
            </w:pPr>
            <w:r>
              <w:t>12.37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0.99</w:t>
            </w:r>
          </w:p>
        </w:tc>
        <w:tc>
          <w:tcPr>
            <w:tcW w:w="2551" w:type="dxa"/>
            <w:vAlign w:val="center"/>
          </w:tcPr>
          <w:p>
            <w:pPr>
              <w:pStyle w:val="11"/>
            </w:pPr>
          </w:p>
        </w:tc>
        <w:tc>
          <w:tcPr>
            <w:tcW w:w="2551" w:type="dxa"/>
            <w:vAlign w:val="center"/>
          </w:tcPr>
          <w:p>
            <w:pPr>
              <w:pStyle w:val="11"/>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17.52</w:t>
            </w:r>
          </w:p>
        </w:tc>
        <w:tc>
          <w:tcPr>
            <w:tcW w:w="2551" w:type="dxa"/>
            <w:vAlign w:val="center"/>
          </w:tcPr>
          <w:p>
            <w:pPr>
              <w:pStyle w:val="11"/>
            </w:pPr>
          </w:p>
        </w:tc>
        <w:tc>
          <w:tcPr>
            <w:tcW w:w="2551" w:type="dxa"/>
            <w:vAlign w:val="center"/>
          </w:tcPr>
          <w:p>
            <w:pPr>
              <w:pStyle w:val="11"/>
            </w:pPr>
            <w:r>
              <w:t>17.52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4.60</w:t>
            </w:r>
          </w:p>
        </w:tc>
        <w:tc>
          <w:tcPr>
            <w:tcW w:w="2551" w:type="dxa"/>
            <w:vAlign w:val="center"/>
          </w:tcPr>
          <w:p>
            <w:pPr>
              <w:pStyle w:val="11"/>
            </w:pPr>
          </w:p>
        </w:tc>
        <w:tc>
          <w:tcPr>
            <w:tcW w:w="2551"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11.82</w:t>
            </w:r>
          </w:p>
        </w:tc>
        <w:tc>
          <w:tcPr>
            <w:tcW w:w="2551" w:type="dxa"/>
            <w:vAlign w:val="center"/>
          </w:tcPr>
          <w:p>
            <w:pPr>
              <w:pStyle w:val="11"/>
            </w:pPr>
          </w:p>
        </w:tc>
        <w:tc>
          <w:tcPr>
            <w:tcW w:w="2551" w:type="dxa"/>
            <w:vAlign w:val="center"/>
          </w:tcPr>
          <w:p>
            <w:pPr>
              <w:pStyle w:val="11"/>
            </w:pPr>
            <w:r>
              <w:t>11.82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14.12</w:t>
            </w:r>
          </w:p>
        </w:tc>
        <w:tc>
          <w:tcPr>
            <w:tcW w:w="2551" w:type="dxa"/>
            <w:vAlign w:val="center"/>
          </w:tcPr>
          <w:p>
            <w:pPr>
              <w:pStyle w:val="11"/>
            </w:pPr>
          </w:p>
        </w:tc>
        <w:tc>
          <w:tcPr>
            <w:tcW w:w="2551" w:type="dxa"/>
            <w:vAlign w:val="center"/>
          </w:tcPr>
          <w:p>
            <w:pPr>
              <w:pStyle w:val="11"/>
            </w:pPr>
            <w:r>
              <w:t>14.12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72.32</w:t>
            </w:r>
          </w:p>
        </w:tc>
        <w:tc>
          <w:tcPr>
            <w:tcW w:w="2551" w:type="dxa"/>
            <w:vAlign w:val="center"/>
          </w:tcPr>
          <w:p>
            <w:pPr>
              <w:pStyle w:val="11"/>
            </w:pPr>
            <w:r>
              <w:t>72.32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69.13</w:t>
            </w:r>
          </w:p>
        </w:tc>
        <w:tc>
          <w:tcPr>
            <w:tcW w:w="2551" w:type="dxa"/>
            <w:vAlign w:val="center"/>
          </w:tcPr>
          <w:p>
            <w:pPr>
              <w:pStyle w:val="11"/>
            </w:pPr>
            <w:r>
              <w:t>69.13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5.59</w:t>
            </w:r>
          </w:p>
        </w:tc>
        <w:tc>
          <w:tcPr>
            <w:tcW w:w="2381" w:type="dxa"/>
            <w:vAlign w:val="center"/>
          </w:tcPr>
          <w:p>
            <w:pPr>
              <w:pStyle w:val="15"/>
            </w:pPr>
            <w:r>
              <w:t>5.59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4.60</w:t>
            </w:r>
          </w:p>
        </w:tc>
        <w:tc>
          <w:tcPr>
            <w:tcW w:w="2381" w:type="dxa"/>
            <w:vAlign w:val="center"/>
          </w:tcPr>
          <w:p>
            <w:pPr>
              <w:pStyle w:val="11"/>
            </w:pPr>
            <w:r>
              <w:t>4.60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4.60</w:t>
            </w:r>
          </w:p>
        </w:tc>
        <w:tc>
          <w:tcPr>
            <w:tcW w:w="2381" w:type="dxa"/>
            <w:vAlign w:val="center"/>
          </w:tcPr>
          <w:p>
            <w:pPr>
              <w:pStyle w:val="11"/>
            </w:pPr>
            <w:r>
              <w:t>4.60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0.99</w:t>
            </w:r>
          </w:p>
        </w:tc>
        <w:tc>
          <w:tcPr>
            <w:tcW w:w="2381" w:type="dxa"/>
            <w:vAlign w:val="center"/>
          </w:tcPr>
          <w:p>
            <w:pPr>
              <w:pStyle w:val="11"/>
            </w:pPr>
            <w:r>
              <w:t>0.99</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高阳县城市管理综合行政执法局2026年单位预算信息公开情况说明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按照《中华人民共和国预算法》、《地方预决算公开操作规程》和《关于进一步推进预算公开工作的实施意见》规定，现将高阳县城市管理综合行政执法局2026年单位预算公开如下：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（一）宣传贯彻省、市、县有关城市管理方面的政策和法规；拟定和实施城市管理方面的有关规定。</w:t>
      </w:r>
    </w:p>
    <w:p>
      <w:pPr>
        <w:pStyle w:val="17"/>
      </w:pPr>
      <w:r>
        <w:t>（二）负责编制城市管理发展战略,中长期发展规划和年度计划,推进数字城管智慧化。并会同自然资源和规划局编制实施市容景观、环境卫生、城市绿化等各项专业规划。</w:t>
      </w:r>
    </w:p>
    <w:p>
      <w:pPr>
        <w:pStyle w:val="17"/>
      </w:pPr>
      <w:r>
        <w:t>（三）负责城区城市容貌和环境卫生管理、参与城区环境卫生设施的规划及环卫设施的竣工验收；负责城区环境卫生设施、设备、经费的管理,道路清融雪等工作；负责对环境卫生方面新技术的研究推广工作。负责制定城市容貌标准,并监督执行。组织实施市容整治和门前“三包”；组织开展街道、住宅小区环境的考核评比工作。</w:t>
      </w:r>
    </w:p>
    <w:p>
      <w:pPr>
        <w:pStyle w:val="17"/>
      </w:pPr>
      <w:r>
        <w:t>（四）负责建成区内垃圾处理等方面的工作。指导建制镇生活垃圾及农村生活垃圾收运处置体系建设；指导各乡镇环卫工作的开展。</w:t>
      </w:r>
    </w:p>
    <w:p>
      <w:pPr>
        <w:pStyle w:val="17"/>
      </w:pPr>
      <w:r>
        <w:t>（五）负责城区公共空间秩序管理方面的户外广告设置,门头牌匾、建筑外立面装修、“街道家具”等管理工作。</w:t>
      </w:r>
    </w:p>
    <w:p>
      <w:pPr>
        <w:pStyle w:val="17"/>
      </w:pPr>
      <w:r>
        <w:t>（六）负责城市交通管理方面的便道车辆停放管理工作。</w:t>
      </w:r>
    </w:p>
    <w:p>
      <w:pPr>
        <w:pStyle w:val="17"/>
      </w:pPr>
      <w:r>
        <w:t>（七）负责城市管理相关业务安全管理工作。</w:t>
      </w:r>
    </w:p>
    <w:p>
      <w:pPr>
        <w:pStyle w:val="17"/>
      </w:pPr>
      <w:r>
        <w:t>（八）负责城市环境保护管理方面的道路扬尘、露天烧烤整治工作。</w:t>
      </w:r>
    </w:p>
    <w:p>
      <w:pPr>
        <w:pStyle w:val="17"/>
      </w:pPr>
      <w:r>
        <w:t>（九）负责城市园林绿化管理等方面的全部工作。</w:t>
      </w:r>
    </w:p>
    <w:p>
      <w:pPr>
        <w:pStyle w:val="17"/>
      </w:pPr>
      <w:r>
        <w:t>（十）集中行使与群众生产生活密切相关、执法频率高、多头执法扰民问题突出、专业技术要求适宜、与城市管理密切相关的行政处罚权,具体包括：</w:t>
      </w:r>
    </w:p>
    <w:p>
      <w:pPr>
        <w:pStyle w:val="17"/>
      </w:pPr>
      <w:r>
        <w:t>1、市容环境卫生管理方面法律、法规、规章规定的行政处罚权；</w:t>
      </w:r>
    </w:p>
    <w:p>
      <w:pPr>
        <w:pStyle w:val="17"/>
      </w:pPr>
      <w:r>
        <w:t>2、城市绿化管理方面法律、法规、规章规定的行政处罚权；</w:t>
      </w:r>
    </w:p>
    <w:p>
      <w:pPr>
        <w:pStyle w:val="17"/>
      </w:pPr>
      <w:r>
        <w:t>3、城市规划管理方面在规划区内未取得建设工程规划许可证进行建设的、已取得建设工程规划许可证未按规划进行建设的行政处罚权；</w:t>
      </w:r>
    </w:p>
    <w:p>
      <w:pPr>
        <w:pStyle w:val="17"/>
      </w:pPr>
      <w:r>
        <w:t>4、公安交通管理方面在人行道、广场等公共场所内违反机动车停放、临时停车规定行为法律、法规、规章规定的行政处罚权；</w:t>
      </w:r>
    </w:p>
    <w:p>
      <w:pPr>
        <w:pStyle w:val="17"/>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p>
    <w:p>
      <w:pPr>
        <w:pStyle w:val="17"/>
      </w:pPr>
      <w:r>
        <w:t>6、水务管理方面向城市河道倾倒废弃物和垃圾、城市河道违法建筑物拆除、违法取土的法律、法规、规章规定的行政处罚权；</w:t>
      </w:r>
    </w:p>
    <w:p>
      <w:pPr>
        <w:pStyle w:val="17"/>
      </w:pPr>
      <w:r>
        <w:t>7、市场监督管理方面户外公共场所无证、无照经营、违规设置户外广告,违法回收贩卖药品行为法律、法规、规章规定的行政处罚权；</w:t>
      </w:r>
    </w:p>
    <w:p>
      <w:pPr>
        <w:pStyle w:val="17"/>
      </w:pPr>
      <w:r>
        <w:t>城市管理综合行政执法部门可以实施与上述范围内法律、法规、规章规定的行政处罚权有关的行政强制措施。</w:t>
      </w:r>
    </w:p>
    <w:p>
      <w:pPr>
        <w:pStyle w:val="17"/>
      </w:pPr>
      <w:r>
        <w:t>（十一）完成县委、县政府交办的其他事项。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高阳县城市管理综合行政执法局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6175.06万元，其中：一般公共预算收入6175.06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城市管理综合行政执法局年度单位预算中支出预算的总体情况。2026年支出预算6175.06万元，其中基本支出2348.06万元，包括人员经费2209.17万元和日常公用经费138.89万元；项目支出3827.00万元，主要为城区环卫作业市场化经费、农村环卫作业市场化经费、垃圾运输处理费、城区绿地和公园绿地社会化养护等专项支出；预计下年使用的单位资金结余0.00万元。委托业务费共计安排3618.72万元，主要用于因技术原因确需对外委托的辅助性工作和确有必要对外委托开展咨询、评审、规划等工作。</w:t>
      </w:r>
    </w:p>
    <w:p>
      <w:pPr>
        <w:pStyle w:val="18"/>
      </w:pPr>
      <w:r>
        <w:t>3、比上年增减情况</w:t>
      </w:r>
    </w:p>
    <w:p>
      <w:pPr>
        <w:pStyle w:val="18"/>
      </w:pPr>
      <w:r>
        <w:t>2026年预算收支安排6175.06万元，较2025年预算减少5925.76万元，其中：基本支出增加112.34万元，主要为人员经费增加。项目支出减少6038.10万元，主要为城区环卫作业市场化经费、农村环卫作业市场化经费、垃圾运输处理费、城区绿地和公园绿地社会化养护等专项支出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2026年，我单位机关运行经费共计安排138.89万元，主要用于日常维修、办公用房水电费、办公用房取暖费、办公用房物业管理费等日常运行支出。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5.59万元，其中因公出国（境）费0.00万元；公务用车购置及运维费4.60万元（其中：公务用车购置费为0.00万元，公务用车运维费4.60万元)；公务接待费0.99万元。与2025年相比减少4.42万元，增减变化的主要原因是公务用车数量减少，相应公车运行维护费对应减少。</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1、城市管理工作经费-劳务派遣绩效目标表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13062826P00011510109G</w:t>
            </w:r>
          </w:p>
        </w:tc>
        <w:tc>
          <w:tcPr>
            <w:tcW w:w="2835" w:type="dxa"/>
            <w:vAlign w:val="center"/>
          </w:tcPr>
          <w:p>
            <w:pPr>
              <w:pStyle w:val="10"/>
            </w:pPr>
            <w:r>
              <w:t>项目名称</w:t>
            </w:r>
          </w:p>
        </w:tc>
        <w:tc>
          <w:tcPr>
            <w:tcW w:w="6095" w:type="dxa"/>
            <w:gridSpan w:val="3"/>
            <w:vAlign w:val="center"/>
          </w:tcPr>
          <w:p>
            <w:pPr>
              <w:pStyle w:val="12"/>
            </w:pPr>
            <w:r>
              <w:t>城市管理工作经费-劳务派遣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用于城市管理工作经费-劳务派遣项目支出。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w:t>
            </w:r>
          </w:p>
        </w:tc>
        <w:tc>
          <w:tcPr>
            <w:tcW w:w="2835" w:type="dxa"/>
            <w:vAlign w:val="center"/>
          </w:tcPr>
          <w:p>
            <w:pPr>
              <w:pStyle w:val="13"/>
            </w:pPr>
            <w:r>
              <w:t>30.00</w:t>
            </w:r>
          </w:p>
        </w:tc>
        <w:tc>
          <w:tcPr>
            <w:tcW w:w="2551" w:type="dxa"/>
            <w:vAlign w:val="center"/>
          </w:tcPr>
          <w:p>
            <w:pPr>
              <w:pStyle w:val="13"/>
            </w:pPr>
            <w:r>
              <w:t>45.00</w:t>
            </w:r>
          </w:p>
        </w:tc>
        <w:tc>
          <w:tcPr>
            <w:tcW w:w="3544" w:type="dxa"/>
            <w:gridSpan w:val="2"/>
            <w:vAlign w:val="center"/>
          </w:tcPr>
          <w:p>
            <w:pPr>
              <w:pStyle w:val="13"/>
            </w:pPr>
            <w:r>
              <w:t>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1.保障劳务派遣人员工资及保险正常发放和缴纳。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劳务派遣人员数量</w:t>
            </w:r>
          </w:p>
        </w:tc>
        <w:tc>
          <w:tcPr>
            <w:tcW w:w="5386" w:type="dxa"/>
            <w:vAlign w:val="center"/>
          </w:tcPr>
          <w:p>
            <w:pPr>
              <w:pStyle w:val="12"/>
            </w:pPr>
            <w:r>
              <w:t>劳务派遣人员数量</w:t>
            </w:r>
          </w:p>
        </w:tc>
        <w:tc>
          <w:tcPr>
            <w:tcW w:w="2268" w:type="dxa"/>
            <w:vAlign w:val="center"/>
          </w:tcPr>
          <w:p>
            <w:pPr>
              <w:pStyle w:val="12"/>
            </w:pPr>
            <w:r>
              <w:t>≥13人</w:t>
            </w:r>
          </w:p>
        </w:tc>
        <w:tc>
          <w:tcPr>
            <w:tcW w:w="1276" w:type="dxa"/>
            <w:vAlign w:val="center"/>
          </w:tcPr>
          <w:p>
            <w:pPr>
              <w:pStyle w:val="12"/>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实际发放数占应发放数的比例</w:t>
            </w:r>
          </w:p>
        </w:tc>
        <w:tc>
          <w:tcPr>
            <w:tcW w:w="2268" w:type="dxa"/>
            <w:vAlign w:val="center"/>
          </w:tcPr>
          <w:p>
            <w:pPr>
              <w:pStyle w:val="12"/>
            </w:pPr>
            <w:r>
              <w:t>100%</w:t>
            </w:r>
          </w:p>
        </w:tc>
        <w:tc>
          <w:tcPr>
            <w:tcW w:w="1276" w:type="dxa"/>
            <w:vAlign w:val="center"/>
          </w:tcPr>
          <w:p>
            <w:pPr>
              <w:pStyle w:val="12"/>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工资发放及时率</w:t>
            </w:r>
          </w:p>
        </w:tc>
        <w:tc>
          <w:tcPr>
            <w:tcW w:w="5386" w:type="dxa"/>
            <w:vAlign w:val="center"/>
          </w:tcPr>
          <w:p>
            <w:pPr>
              <w:pStyle w:val="12"/>
            </w:pPr>
            <w:r>
              <w:t>反映工资发放及时情况</w:t>
            </w:r>
          </w:p>
        </w:tc>
        <w:tc>
          <w:tcPr>
            <w:tcW w:w="2268" w:type="dxa"/>
            <w:vAlign w:val="center"/>
          </w:tcPr>
          <w:p>
            <w:pPr>
              <w:pStyle w:val="12"/>
            </w:pPr>
            <w:r>
              <w:t>100%</w:t>
            </w:r>
          </w:p>
        </w:tc>
        <w:tc>
          <w:tcPr>
            <w:tcW w:w="1276" w:type="dxa"/>
            <w:vAlign w:val="center"/>
          </w:tcPr>
          <w:p>
            <w:pPr>
              <w:pStyle w:val="12"/>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实际支出占预算安排的比例</w:t>
            </w:r>
          </w:p>
        </w:tc>
        <w:tc>
          <w:tcPr>
            <w:tcW w:w="2268" w:type="dxa"/>
            <w:vAlign w:val="center"/>
          </w:tcPr>
          <w:p>
            <w:pPr>
              <w:pStyle w:val="12"/>
            </w:pPr>
            <w:r>
              <w:t>≤100%</w:t>
            </w:r>
          </w:p>
        </w:tc>
        <w:tc>
          <w:tcPr>
            <w:tcW w:w="1276" w:type="dxa"/>
            <w:vAlign w:val="center"/>
          </w:tcPr>
          <w:p>
            <w:pPr>
              <w:pStyle w:val="12"/>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工作开展持续性</w:t>
            </w:r>
          </w:p>
        </w:tc>
        <w:tc>
          <w:tcPr>
            <w:tcW w:w="5386" w:type="dxa"/>
            <w:vAlign w:val="center"/>
          </w:tcPr>
          <w:p>
            <w:pPr>
              <w:pStyle w:val="12"/>
            </w:pPr>
            <w:r>
              <w:t>保障工作正常持续性开展</w:t>
            </w:r>
          </w:p>
        </w:tc>
        <w:tc>
          <w:tcPr>
            <w:tcW w:w="2268" w:type="dxa"/>
            <w:vAlign w:val="center"/>
          </w:tcPr>
          <w:p>
            <w:pPr>
              <w:pStyle w:val="12"/>
            </w:pPr>
            <w:r>
              <w:t>保障工作正常持续开展</w:t>
            </w:r>
          </w:p>
        </w:tc>
        <w:tc>
          <w:tcPr>
            <w:tcW w:w="1276" w:type="dxa"/>
            <w:vAlign w:val="center"/>
          </w:tcPr>
          <w:p>
            <w:pPr>
              <w:pStyle w:val="12"/>
            </w:pPr>
            <w:r>
              <w:t>劳务派遣协议书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2、城区公厕运行维护费绩效目标表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13062826P00060010009A</w:t>
            </w:r>
          </w:p>
        </w:tc>
        <w:tc>
          <w:tcPr>
            <w:tcW w:w="2835" w:type="dxa"/>
            <w:vAlign w:val="center"/>
          </w:tcPr>
          <w:p>
            <w:pPr>
              <w:pStyle w:val="10"/>
            </w:pPr>
            <w:r>
              <w:t>项目名称</w:t>
            </w:r>
          </w:p>
        </w:tc>
        <w:tc>
          <w:tcPr>
            <w:tcW w:w="6095" w:type="dxa"/>
            <w:gridSpan w:val="3"/>
            <w:vAlign w:val="center"/>
          </w:tcPr>
          <w:p>
            <w:pPr>
              <w:pStyle w:val="12"/>
            </w:pPr>
            <w:r>
              <w:t>城区公厕运行维护费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用于城区公厕运行维护费项目支出。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w:t>
            </w:r>
          </w:p>
        </w:tc>
        <w:tc>
          <w:tcPr>
            <w:tcW w:w="2835" w:type="dxa"/>
            <w:vAlign w:val="center"/>
          </w:tcPr>
          <w:p>
            <w:pPr>
              <w:pStyle w:val="13"/>
            </w:pPr>
            <w:r>
              <w:t>15.00</w:t>
            </w:r>
          </w:p>
        </w:tc>
        <w:tc>
          <w:tcPr>
            <w:tcW w:w="2551" w:type="dxa"/>
            <w:vAlign w:val="center"/>
          </w:tcPr>
          <w:p>
            <w:pPr>
              <w:pStyle w:val="13"/>
            </w:pPr>
            <w:r>
              <w:t>22.50</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1.保障城区公厕正常运行。</w:t>
            </w:r>
          </w:p>
          <w:p>
            <w:pPr>
              <w:pStyle w:val="12"/>
            </w:pPr>
            <w:r>
              <w:t>2.完善城市整体功能，提升城市形象品质。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公厕正常运行数量</w:t>
            </w:r>
          </w:p>
        </w:tc>
        <w:tc>
          <w:tcPr>
            <w:tcW w:w="5386" w:type="dxa"/>
            <w:vAlign w:val="center"/>
          </w:tcPr>
          <w:p>
            <w:pPr>
              <w:pStyle w:val="12"/>
            </w:pPr>
            <w:r>
              <w:t>城区范围内正常运转的公厕数量</w:t>
            </w:r>
          </w:p>
        </w:tc>
        <w:tc>
          <w:tcPr>
            <w:tcW w:w="2268" w:type="dxa"/>
            <w:vAlign w:val="center"/>
          </w:tcPr>
          <w:p>
            <w:pPr>
              <w:pStyle w:val="12"/>
            </w:pPr>
            <w:r>
              <w:t>≥19座</w:t>
            </w:r>
          </w:p>
        </w:tc>
        <w:tc>
          <w:tcPr>
            <w:tcW w:w="1276" w:type="dxa"/>
            <w:vAlign w:val="center"/>
          </w:tcPr>
          <w:p>
            <w:pPr>
              <w:pStyle w:val="12"/>
            </w:pPr>
            <w:r>
              <w:t>公厕数量清单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维修合格率</w:t>
            </w:r>
          </w:p>
        </w:tc>
        <w:tc>
          <w:tcPr>
            <w:tcW w:w="5386" w:type="dxa"/>
            <w:vAlign w:val="center"/>
          </w:tcPr>
          <w:p>
            <w:pPr>
              <w:pStyle w:val="12"/>
            </w:pPr>
            <w:r>
              <w:t>维修质量合格产品与全部维修产品比例</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按规定时间要求完成工作的情况</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工作开展的持续性</w:t>
            </w:r>
          </w:p>
        </w:tc>
        <w:tc>
          <w:tcPr>
            <w:tcW w:w="5386" w:type="dxa"/>
            <w:vAlign w:val="center"/>
          </w:tcPr>
          <w:p>
            <w:pPr>
              <w:pStyle w:val="12"/>
            </w:pPr>
            <w:r>
              <w:t>反映保障公厕正常运行工作开展的持续性状况</w:t>
            </w:r>
          </w:p>
        </w:tc>
        <w:tc>
          <w:tcPr>
            <w:tcW w:w="2268" w:type="dxa"/>
            <w:vAlign w:val="center"/>
          </w:tcPr>
          <w:p>
            <w:pPr>
              <w:pStyle w:val="12"/>
            </w:pPr>
            <w:r>
              <w:t>保证公厕正常运行，满足居民出行需要</w:t>
            </w:r>
          </w:p>
        </w:tc>
        <w:tc>
          <w:tcPr>
            <w:tcW w:w="1276" w:type="dxa"/>
            <w:vAlign w:val="center"/>
          </w:tcPr>
          <w:p>
            <w:pPr>
              <w:pStyle w:val="12"/>
            </w:pPr>
            <w:r>
              <w:t>合同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3、城区环卫作业市场化经费绩效目标表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13062826P000569100137</w:t>
            </w:r>
          </w:p>
        </w:tc>
        <w:tc>
          <w:tcPr>
            <w:tcW w:w="2835" w:type="dxa"/>
            <w:vAlign w:val="center"/>
          </w:tcPr>
          <w:p>
            <w:pPr>
              <w:pStyle w:val="10"/>
            </w:pPr>
            <w:r>
              <w:t>项目名称</w:t>
            </w:r>
          </w:p>
        </w:tc>
        <w:tc>
          <w:tcPr>
            <w:tcW w:w="6095" w:type="dxa"/>
            <w:gridSpan w:val="3"/>
            <w:vAlign w:val="center"/>
          </w:tcPr>
          <w:p>
            <w:pPr>
              <w:pStyle w:val="12"/>
            </w:pPr>
            <w:r>
              <w:t>城区环卫作业市场化经费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1300.00</w:t>
            </w:r>
          </w:p>
        </w:tc>
        <w:tc>
          <w:tcPr>
            <w:tcW w:w="2835" w:type="dxa"/>
            <w:vAlign w:val="center"/>
          </w:tcPr>
          <w:p>
            <w:pPr>
              <w:pStyle w:val="10"/>
            </w:pPr>
            <w:r>
              <w:t>其中：财政    资金</w:t>
            </w:r>
          </w:p>
        </w:tc>
        <w:tc>
          <w:tcPr>
            <w:tcW w:w="2551" w:type="dxa"/>
            <w:vAlign w:val="center"/>
          </w:tcPr>
          <w:p>
            <w:pPr>
              <w:pStyle w:val="12"/>
            </w:pPr>
            <w:r>
              <w:t>1300.00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用于城区环卫作业市场化经费支出。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325.00</w:t>
            </w:r>
          </w:p>
        </w:tc>
        <w:tc>
          <w:tcPr>
            <w:tcW w:w="2835" w:type="dxa"/>
            <w:vAlign w:val="center"/>
          </w:tcPr>
          <w:p>
            <w:pPr>
              <w:pStyle w:val="13"/>
            </w:pPr>
            <w:r>
              <w:t>650.00</w:t>
            </w:r>
          </w:p>
        </w:tc>
        <w:tc>
          <w:tcPr>
            <w:tcW w:w="2551" w:type="dxa"/>
            <w:vAlign w:val="center"/>
          </w:tcPr>
          <w:p>
            <w:pPr>
              <w:pStyle w:val="13"/>
            </w:pPr>
            <w:r>
              <w:t>975.00</w:t>
            </w:r>
          </w:p>
        </w:tc>
        <w:tc>
          <w:tcPr>
            <w:tcW w:w="3544" w:type="dxa"/>
            <w:gridSpan w:val="2"/>
            <w:vAlign w:val="center"/>
          </w:tcPr>
          <w:p>
            <w:pPr>
              <w:pStyle w:val="13"/>
            </w:pPr>
            <w:r>
              <w:t>1300.00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1.推进城区环卫作业市场化服务，实现城区垃圾日产日清。</w:t>
            </w:r>
          </w:p>
          <w:p>
            <w:pPr>
              <w:pStyle w:val="12"/>
            </w:pPr>
            <w:r>
              <w:t>2.改善城区环境卫生，提升城市形象，为居民创造整洁、干净的城市环境。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清扫工作量</w:t>
            </w:r>
          </w:p>
        </w:tc>
        <w:tc>
          <w:tcPr>
            <w:tcW w:w="5386" w:type="dxa"/>
            <w:vAlign w:val="center"/>
          </w:tcPr>
          <w:p>
            <w:pPr>
              <w:pStyle w:val="12"/>
            </w:pPr>
            <w:r>
              <w:t>实际清扫服务面积</w:t>
            </w:r>
          </w:p>
        </w:tc>
        <w:tc>
          <w:tcPr>
            <w:tcW w:w="2268" w:type="dxa"/>
            <w:vAlign w:val="center"/>
          </w:tcPr>
          <w:p>
            <w:pPr>
              <w:pStyle w:val="12"/>
            </w:pPr>
            <w:r>
              <w:t>≥341.55万平方米</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清扫面积合格率</w:t>
            </w:r>
          </w:p>
        </w:tc>
        <w:tc>
          <w:tcPr>
            <w:tcW w:w="5386" w:type="dxa"/>
            <w:vAlign w:val="center"/>
          </w:tcPr>
          <w:p>
            <w:pPr>
              <w:pStyle w:val="12"/>
            </w:pPr>
            <w:r>
              <w:t>道路清扫需要达到的基本要求，提高合格率</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反映清扫任务完成情况</w:t>
            </w:r>
          </w:p>
        </w:tc>
        <w:tc>
          <w:tcPr>
            <w:tcW w:w="2268" w:type="dxa"/>
            <w:vAlign w:val="center"/>
          </w:tcPr>
          <w:p>
            <w:pPr>
              <w:pStyle w:val="12"/>
            </w:pPr>
            <w:r>
              <w:t>100%</w:t>
            </w:r>
          </w:p>
        </w:tc>
        <w:tc>
          <w:tcPr>
            <w:tcW w:w="1276" w:type="dxa"/>
            <w:vAlign w:val="center"/>
          </w:tcPr>
          <w:p>
            <w:pPr>
              <w:pStyle w:val="12"/>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改善居民生活环境</w:t>
            </w:r>
          </w:p>
        </w:tc>
        <w:tc>
          <w:tcPr>
            <w:tcW w:w="5386" w:type="dxa"/>
            <w:vAlign w:val="center"/>
          </w:tcPr>
          <w:p>
            <w:pPr>
              <w:pStyle w:val="12"/>
            </w:pPr>
            <w:r>
              <w:t>提升城市形象，美化城市环境，改善居民生活环境</w:t>
            </w:r>
          </w:p>
        </w:tc>
        <w:tc>
          <w:tcPr>
            <w:tcW w:w="2268" w:type="dxa"/>
            <w:vAlign w:val="center"/>
          </w:tcPr>
          <w:p>
            <w:pPr>
              <w:pStyle w:val="12"/>
            </w:pPr>
            <w:r>
              <w:t>改善城区环境卫生，提升城市形象，为居民创造整洁、干净的城市环境</w:t>
            </w:r>
          </w:p>
        </w:tc>
        <w:tc>
          <w:tcPr>
            <w:tcW w:w="1276" w:type="dxa"/>
            <w:vAlign w:val="center"/>
          </w:tcPr>
          <w:p>
            <w:pPr>
              <w:pStyle w:val="12"/>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受访群众达到基本满意以上人数与全体受访人数的比值</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4、城区绿地和公园绿地社会化养护绩效目标表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13062826P000598100066</w:t>
            </w:r>
          </w:p>
        </w:tc>
        <w:tc>
          <w:tcPr>
            <w:tcW w:w="2835" w:type="dxa"/>
            <w:vAlign w:val="center"/>
          </w:tcPr>
          <w:p>
            <w:pPr>
              <w:pStyle w:val="10"/>
            </w:pPr>
            <w:r>
              <w:t>项目名称</w:t>
            </w:r>
          </w:p>
        </w:tc>
        <w:tc>
          <w:tcPr>
            <w:tcW w:w="6095" w:type="dxa"/>
            <w:gridSpan w:val="3"/>
            <w:vAlign w:val="center"/>
          </w:tcPr>
          <w:p>
            <w:pPr>
              <w:pStyle w:val="12"/>
            </w:pPr>
            <w:r>
              <w:t>城区绿地和公园绿地社会化养护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w:t>
            </w:r>
          </w:p>
        </w:tc>
        <w:tc>
          <w:tcPr>
            <w:tcW w:w="2835" w:type="dxa"/>
            <w:vAlign w:val="center"/>
          </w:tcPr>
          <w:p>
            <w:pPr>
              <w:pStyle w:val="10"/>
            </w:pPr>
            <w:r>
              <w:t>其中：财政    资金</w:t>
            </w:r>
          </w:p>
        </w:tc>
        <w:tc>
          <w:tcPr>
            <w:tcW w:w="2551" w:type="dxa"/>
            <w:vAlign w:val="center"/>
          </w:tcPr>
          <w:p>
            <w:pPr>
              <w:pStyle w:val="12"/>
            </w:pPr>
            <w:r>
              <w:t>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用于城区绿地和公园绿地社会化养护。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200.00</w:t>
            </w:r>
          </w:p>
        </w:tc>
        <w:tc>
          <w:tcPr>
            <w:tcW w:w="2551" w:type="dxa"/>
            <w:vAlign w:val="center"/>
          </w:tcPr>
          <w:p>
            <w:pPr>
              <w:pStyle w:val="13"/>
            </w:pPr>
            <w:r>
              <w:t>300.00</w:t>
            </w:r>
          </w:p>
        </w:tc>
        <w:tc>
          <w:tcPr>
            <w:tcW w:w="3544" w:type="dxa"/>
            <w:gridSpan w:val="2"/>
            <w:vAlign w:val="center"/>
          </w:tcPr>
          <w:p>
            <w:pPr>
              <w:pStyle w:val="13"/>
            </w:pPr>
            <w:r>
              <w:t>400.00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1.保持并完善三座公园的绿地景观效果。</w:t>
            </w:r>
          </w:p>
          <w:p>
            <w:pPr>
              <w:pStyle w:val="12"/>
            </w:pPr>
            <w:r>
              <w:t>2.保持并完善城区道路、游园及防护林绿地的景观效果。</w:t>
            </w:r>
          </w:p>
          <w:p>
            <w:pPr>
              <w:pStyle w:val="12"/>
            </w:pPr>
            <w:r>
              <w:t>3.确保公园绿地、行道树更加整洁、优美、有序，进一步巩固公园绿化成果，为市民提供强身健体的休闲、游憩场所。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养护数量</w:t>
            </w:r>
          </w:p>
        </w:tc>
        <w:tc>
          <w:tcPr>
            <w:tcW w:w="5386" w:type="dxa"/>
            <w:vAlign w:val="center"/>
          </w:tcPr>
          <w:p>
            <w:pPr>
              <w:pStyle w:val="12"/>
            </w:pPr>
            <w:r>
              <w:t>反映城区公园养护数量情况</w:t>
            </w:r>
          </w:p>
        </w:tc>
        <w:tc>
          <w:tcPr>
            <w:tcW w:w="2268" w:type="dxa"/>
            <w:vAlign w:val="center"/>
          </w:tcPr>
          <w:p>
            <w:pPr>
              <w:pStyle w:val="12"/>
            </w:pPr>
            <w:r>
              <w:t>3座</w:t>
            </w:r>
          </w:p>
        </w:tc>
        <w:tc>
          <w:tcPr>
            <w:tcW w:w="1276" w:type="dxa"/>
            <w:vAlign w:val="center"/>
          </w:tcPr>
          <w:p>
            <w:pPr>
              <w:pStyle w:val="12"/>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绿化成活率</w:t>
            </w:r>
          </w:p>
        </w:tc>
        <w:tc>
          <w:tcPr>
            <w:tcW w:w="5386" w:type="dxa"/>
            <w:vAlign w:val="center"/>
          </w:tcPr>
          <w:p>
            <w:pPr>
              <w:pStyle w:val="12"/>
            </w:pPr>
            <w:r>
              <w:t>反映种植苗木成活情况</w:t>
            </w:r>
          </w:p>
        </w:tc>
        <w:tc>
          <w:tcPr>
            <w:tcW w:w="2268" w:type="dxa"/>
            <w:vAlign w:val="center"/>
          </w:tcPr>
          <w:p>
            <w:pPr>
              <w:pStyle w:val="12"/>
            </w:pPr>
            <w:r>
              <w:t>≥95%</w:t>
            </w:r>
          </w:p>
        </w:tc>
        <w:tc>
          <w:tcPr>
            <w:tcW w:w="1276" w:type="dxa"/>
            <w:vAlign w:val="center"/>
          </w:tcPr>
          <w:p>
            <w:pPr>
              <w:pStyle w:val="12"/>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反映养护活动完成情况</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养护单价</w:t>
            </w:r>
          </w:p>
        </w:tc>
        <w:tc>
          <w:tcPr>
            <w:tcW w:w="5386" w:type="dxa"/>
            <w:vAlign w:val="center"/>
          </w:tcPr>
          <w:p>
            <w:pPr>
              <w:pStyle w:val="12"/>
            </w:pPr>
            <w:r>
              <w:t>合同约定养护单价成本</w:t>
            </w:r>
          </w:p>
        </w:tc>
        <w:tc>
          <w:tcPr>
            <w:tcW w:w="2268" w:type="dxa"/>
            <w:vAlign w:val="center"/>
          </w:tcPr>
          <w:p>
            <w:pPr>
              <w:pStyle w:val="12"/>
            </w:pPr>
            <w:r>
              <w:t>≤74.25万元/月</w:t>
            </w:r>
          </w:p>
        </w:tc>
        <w:tc>
          <w:tcPr>
            <w:tcW w:w="1276" w:type="dxa"/>
            <w:vAlign w:val="center"/>
          </w:tcPr>
          <w:p>
            <w:pPr>
              <w:pStyle w:val="12"/>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巩固绿化成果</w:t>
            </w:r>
          </w:p>
        </w:tc>
        <w:tc>
          <w:tcPr>
            <w:tcW w:w="5386" w:type="dxa"/>
            <w:vAlign w:val="center"/>
          </w:tcPr>
          <w:p>
            <w:pPr>
              <w:pStyle w:val="12"/>
            </w:pPr>
            <w:r>
              <w:t>公园绿地、行道树更加整洁、优美、有序。</w:t>
            </w:r>
          </w:p>
        </w:tc>
        <w:tc>
          <w:tcPr>
            <w:tcW w:w="2268" w:type="dxa"/>
            <w:vAlign w:val="center"/>
          </w:tcPr>
          <w:p>
            <w:pPr>
              <w:pStyle w:val="12"/>
            </w:pPr>
            <w:r>
              <w:t>绿地景观效果有效保持和完善。</w:t>
            </w:r>
          </w:p>
        </w:tc>
        <w:tc>
          <w:tcPr>
            <w:tcW w:w="1276" w:type="dxa"/>
            <w:vAlign w:val="center"/>
          </w:tcPr>
          <w:p>
            <w:pPr>
              <w:pStyle w:val="12"/>
            </w:pPr>
            <w:r>
              <w:t>合同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5、城区重点养护资金绩效目标表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13062826P000600100073</w:t>
            </w:r>
          </w:p>
        </w:tc>
        <w:tc>
          <w:tcPr>
            <w:tcW w:w="2835" w:type="dxa"/>
            <w:vAlign w:val="center"/>
          </w:tcPr>
          <w:p>
            <w:pPr>
              <w:pStyle w:val="10"/>
            </w:pPr>
            <w:r>
              <w:t>项目名称</w:t>
            </w:r>
          </w:p>
        </w:tc>
        <w:tc>
          <w:tcPr>
            <w:tcW w:w="6095" w:type="dxa"/>
            <w:gridSpan w:val="3"/>
            <w:vAlign w:val="center"/>
          </w:tcPr>
          <w:p>
            <w:pPr>
              <w:pStyle w:val="12"/>
            </w:pPr>
            <w:r>
              <w:t>城区重点养护资金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用于城区重点养护资金项目支出。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1.保障城区重点养护工作顺利开展。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城区养护覆盖率</w:t>
            </w:r>
          </w:p>
        </w:tc>
        <w:tc>
          <w:tcPr>
            <w:tcW w:w="5386" w:type="dxa"/>
            <w:vAlign w:val="center"/>
          </w:tcPr>
          <w:p>
            <w:pPr>
              <w:pStyle w:val="12"/>
            </w:pPr>
            <w:r>
              <w:t>反映城区重点养护范围覆盖率</w:t>
            </w:r>
          </w:p>
        </w:tc>
        <w:tc>
          <w:tcPr>
            <w:tcW w:w="2268" w:type="dxa"/>
            <w:vAlign w:val="center"/>
          </w:tcPr>
          <w:p>
            <w:pPr>
              <w:pStyle w:val="12"/>
            </w:pPr>
            <w:r>
              <w:t>≥95%</w:t>
            </w:r>
          </w:p>
        </w:tc>
        <w:tc>
          <w:tcPr>
            <w:tcW w:w="1276" w:type="dxa"/>
            <w:vAlign w:val="center"/>
          </w:tcPr>
          <w:p>
            <w:pPr>
              <w:pStyle w:val="12"/>
            </w:pPr>
            <w:r>
              <w:t>维修明细表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反映验收合格数量占全部数量的比例</w:t>
            </w:r>
          </w:p>
        </w:tc>
        <w:tc>
          <w:tcPr>
            <w:tcW w:w="2268" w:type="dxa"/>
            <w:vAlign w:val="center"/>
          </w:tcPr>
          <w:p>
            <w:pPr>
              <w:pStyle w:val="12"/>
            </w:pPr>
            <w:r>
              <w:t>＝100%</w:t>
            </w:r>
          </w:p>
        </w:tc>
        <w:tc>
          <w:tcPr>
            <w:tcW w:w="1276" w:type="dxa"/>
            <w:vAlign w:val="center"/>
          </w:tcPr>
          <w:p>
            <w:pPr>
              <w:pStyle w:val="12"/>
            </w:pPr>
            <w:r>
              <w:t>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反映工作完成及时性情况</w:t>
            </w:r>
          </w:p>
        </w:tc>
        <w:tc>
          <w:tcPr>
            <w:tcW w:w="2268" w:type="dxa"/>
            <w:vAlign w:val="center"/>
          </w:tcPr>
          <w:p>
            <w:pPr>
              <w:pStyle w:val="12"/>
            </w:pPr>
            <w:r>
              <w:t>＝100%</w:t>
            </w:r>
          </w:p>
        </w:tc>
        <w:tc>
          <w:tcPr>
            <w:tcW w:w="1276" w:type="dxa"/>
            <w:vAlign w:val="center"/>
          </w:tcPr>
          <w:p>
            <w:pPr>
              <w:pStyle w:val="12"/>
            </w:pPr>
            <w:r>
              <w:t>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按总成本控制</w:t>
            </w:r>
          </w:p>
        </w:tc>
        <w:tc>
          <w:tcPr>
            <w:tcW w:w="5386" w:type="dxa"/>
            <w:vAlign w:val="center"/>
          </w:tcPr>
          <w:p>
            <w:pPr>
              <w:pStyle w:val="12"/>
            </w:pPr>
            <w:r>
              <w:t>反映实际成本占预算安排的比例</w:t>
            </w:r>
          </w:p>
        </w:tc>
        <w:tc>
          <w:tcPr>
            <w:tcW w:w="2268" w:type="dxa"/>
            <w:vAlign w:val="center"/>
          </w:tcPr>
          <w:p>
            <w:pPr>
              <w:pStyle w:val="12"/>
            </w:pPr>
            <w:r>
              <w:t>≤100%</w:t>
            </w:r>
          </w:p>
        </w:tc>
        <w:tc>
          <w:tcPr>
            <w:tcW w:w="1276" w:type="dxa"/>
            <w:vAlign w:val="center"/>
          </w:tcPr>
          <w:p>
            <w:pPr>
              <w:pStyle w:val="12"/>
            </w:pPr>
            <w:r>
              <w:t>维修明细表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城区重点养护工作顺利开展</w:t>
            </w:r>
          </w:p>
        </w:tc>
        <w:tc>
          <w:tcPr>
            <w:tcW w:w="5386" w:type="dxa"/>
            <w:vAlign w:val="center"/>
          </w:tcPr>
          <w:p>
            <w:pPr>
              <w:pStyle w:val="12"/>
            </w:pPr>
            <w:r>
              <w:t>城区重点养护工作顺利开展</w:t>
            </w:r>
          </w:p>
        </w:tc>
        <w:tc>
          <w:tcPr>
            <w:tcW w:w="2268" w:type="dxa"/>
            <w:vAlign w:val="center"/>
          </w:tcPr>
          <w:p>
            <w:pPr>
              <w:pStyle w:val="12"/>
            </w:pPr>
            <w:r>
              <w:t>城区重点养护工作顺利开展</w:t>
            </w:r>
          </w:p>
        </w:tc>
        <w:tc>
          <w:tcPr>
            <w:tcW w:w="1276" w:type="dxa"/>
            <w:vAlign w:val="center"/>
          </w:tcPr>
          <w:p>
            <w:pPr>
              <w:pStyle w:val="12"/>
            </w:pPr>
            <w:r>
              <w:t>合同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6、高阳县市政交通护栏清洗维护项目绩效目标表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13062826P00060010010M</w:t>
            </w:r>
          </w:p>
        </w:tc>
        <w:tc>
          <w:tcPr>
            <w:tcW w:w="2835" w:type="dxa"/>
            <w:vAlign w:val="center"/>
          </w:tcPr>
          <w:p>
            <w:pPr>
              <w:pStyle w:val="10"/>
            </w:pPr>
            <w:r>
              <w:t>项目名称</w:t>
            </w:r>
          </w:p>
        </w:tc>
        <w:tc>
          <w:tcPr>
            <w:tcW w:w="6095" w:type="dxa"/>
            <w:gridSpan w:val="3"/>
            <w:vAlign w:val="center"/>
          </w:tcPr>
          <w:p>
            <w:pPr>
              <w:pStyle w:val="12"/>
            </w:pPr>
            <w:r>
              <w:t>高阳县市政交通护栏清洗维护项目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57.00</w:t>
            </w:r>
          </w:p>
        </w:tc>
        <w:tc>
          <w:tcPr>
            <w:tcW w:w="2835" w:type="dxa"/>
            <w:vAlign w:val="center"/>
          </w:tcPr>
          <w:p>
            <w:pPr>
              <w:pStyle w:val="10"/>
            </w:pPr>
            <w:r>
              <w:t>其中：财政    资金</w:t>
            </w:r>
          </w:p>
        </w:tc>
        <w:tc>
          <w:tcPr>
            <w:tcW w:w="2551" w:type="dxa"/>
            <w:vAlign w:val="center"/>
          </w:tcPr>
          <w:p>
            <w:pPr>
              <w:pStyle w:val="12"/>
            </w:pPr>
            <w:r>
              <w:t>57.00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用于高阳县市政交通护栏清洗维护项目支出。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14.25</w:t>
            </w:r>
          </w:p>
        </w:tc>
        <w:tc>
          <w:tcPr>
            <w:tcW w:w="2835" w:type="dxa"/>
            <w:vAlign w:val="center"/>
          </w:tcPr>
          <w:p>
            <w:pPr>
              <w:pStyle w:val="13"/>
            </w:pPr>
            <w:r>
              <w:t>28.50</w:t>
            </w:r>
          </w:p>
        </w:tc>
        <w:tc>
          <w:tcPr>
            <w:tcW w:w="2551" w:type="dxa"/>
            <w:vAlign w:val="center"/>
          </w:tcPr>
          <w:p>
            <w:pPr>
              <w:pStyle w:val="13"/>
            </w:pPr>
            <w:r>
              <w:t>42.75</w:t>
            </w:r>
          </w:p>
        </w:tc>
        <w:tc>
          <w:tcPr>
            <w:tcW w:w="3544" w:type="dxa"/>
            <w:gridSpan w:val="2"/>
            <w:vAlign w:val="center"/>
          </w:tcPr>
          <w:p>
            <w:pPr>
              <w:pStyle w:val="13"/>
            </w:pPr>
            <w:r>
              <w:t>57.00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1.保障公路隔离栏维修清洗保养工作正常开展。</w:t>
            </w:r>
          </w:p>
          <w:p>
            <w:pPr>
              <w:pStyle w:val="12"/>
            </w:pPr>
            <w:r>
              <w:t>2.保障道路交通安全、畅通、有序，提升城市道路管理水平，美化市容市貌。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清扫覆盖率</w:t>
            </w:r>
          </w:p>
        </w:tc>
        <w:tc>
          <w:tcPr>
            <w:tcW w:w="5386" w:type="dxa"/>
            <w:vAlign w:val="center"/>
          </w:tcPr>
          <w:p>
            <w:pPr>
              <w:pStyle w:val="12"/>
            </w:pPr>
            <w:r>
              <w:t>隔离栏清扫保洁数量占全部隔离栏的比例</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维修合格率</w:t>
            </w:r>
          </w:p>
        </w:tc>
        <w:tc>
          <w:tcPr>
            <w:tcW w:w="5386" w:type="dxa"/>
            <w:vAlign w:val="center"/>
          </w:tcPr>
          <w:p>
            <w:pPr>
              <w:pStyle w:val="12"/>
            </w:pPr>
            <w:r>
              <w:t>维修合格的设备数量与总数量的比值</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工作开展及时性</w:t>
            </w:r>
          </w:p>
        </w:tc>
        <w:tc>
          <w:tcPr>
            <w:tcW w:w="5386" w:type="dxa"/>
            <w:vAlign w:val="center"/>
          </w:tcPr>
          <w:p>
            <w:pPr>
              <w:pStyle w:val="12"/>
            </w:pPr>
            <w:r>
              <w:t>清扫维修工作开展及时性</w:t>
            </w:r>
          </w:p>
        </w:tc>
        <w:tc>
          <w:tcPr>
            <w:tcW w:w="2268" w:type="dxa"/>
            <w:vAlign w:val="center"/>
          </w:tcPr>
          <w:p>
            <w:pPr>
              <w:pStyle w:val="12"/>
            </w:pPr>
            <w:r>
              <w:t>100%</w:t>
            </w:r>
          </w:p>
        </w:tc>
        <w:tc>
          <w:tcPr>
            <w:tcW w:w="1276" w:type="dxa"/>
            <w:vAlign w:val="center"/>
          </w:tcPr>
          <w:p>
            <w:pPr>
              <w:pStyle w:val="12"/>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实际支出金额占预算金额的百分比</w:t>
            </w:r>
          </w:p>
        </w:tc>
        <w:tc>
          <w:tcPr>
            <w:tcW w:w="2268" w:type="dxa"/>
            <w:vAlign w:val="center"/>
          </w:tcPr>
          <w:p>
            <w:pPr>
              <w:pStyle w:val="12"/>
            </w:pPr>
            <w:r>
              <w:t>≤100%</w:t>
            </w:r>
          </w:p>
        </w:tc>
        <w:tc>
          <w:tcPr>
            <w:tcW w:w="1276" w:type="dxa"/>
            <w:vAlign w:val="center"/>
          </w:tcPr>
          <w:p>
            <w:pPr>
              <w:pStyle w:val="12"/>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保障公路隔离栏维护清洗保养工作正常开展</w:t>
            </w:r>
          </w:p>
        </w:tc>
        <w:tc>
          <w:tcPr>
            <w:tcW w:w="5386" w:type="dxa"/>
            <w:vAlign w:val="center"/>
          </w:tcPr>
          <w:p>
            <w:pPr>
              <w:pStyle w:val="12"/>
            </w:pPr>
            <w:r>
              <w:t>保障隔离栏干净整齐，保障道路交通安全、畅通、有序，提升城市道路管理水平。</w:t>
            </w:r>
          </w:p>
        </w:tc>
        <w:tc>
          <w:tcPr>
            <w:tcW w:w="2268" w:type="dxa"/>
            <w:vAlign w:val="center"/>
          </w:tcPr>
          <w:p>
            <w:pPr>
              <w:pStyle w:val="12"/>
            </w:pPr>
            <w:r>
              <w:t>保障隔离栏及时维修养护</w:t>
            </w:r>
          </w:p>
        </w:tc>
        <w:tc>
          <w:tcPr>
            <w:tcW w:w="1276" w:type="dxa"/>
            <w:vAlign w:val="center"/>
          </w:tcPr>
          <w:p>
            <w:pPr>
              <w:pStyle w:val="12"/>
            </w:pPr>
            <w:r>
              <w:t>合同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7、垃圾运输处理费绩效目标表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13062826P00A59310008T</w:t>
            </w:r>
          </w:p>
        </w:tc>
        <w:tc>
          <w:tcPr>
            <w:tcW w:w="2835" w:type="dxa"/>
            <w:vAlign w:val="center"/>
          </w:tcPr>
          <w:p>
            <w:pPr>
              <w:pStyle w:val="10"/>
            </w:pPr>
            <w:r>
              <w:t>项目名称</w:t>
            </w:r>
          </w:p>
        </w:tc>
        <w:tc>
          <w:tcPr>
            <w:tcW w:w="6095" w:type="dxa"/>
            <w:gridSpan w:val="3"/>
            <w:vAlign w:val="center"/>
          </w:tcPr>
          <w:p>
            <w:pPr>
              <w:pStyle w:val="12"/>
            </w:pPr>
            <w:r>
              <w:t>垃圾运输处理费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800.00</w:t>
            </w:r>
          </w:p>
        </w:tc>
        <w:tc>
          <w:tcPr>
            <w:tcW w:w="2835" w:type="dxa"/>
            <w:vAlign w:val="center"/>
          </w:tcPr>
          <w:p>
            <w:pPr>
              <w:pStyle w:val="10"/>
            </w:pPr>
            <w:r>
              <w:t>其中：财政    资金</w:t>
            </w:r>
          </w:p>
        </w:tc>
        <w:tc>
          <w:tcPr>
            <w:tcW w:w="2551" w:type="dxa"/>
            <w:vAlign w:val="center"/>
          </w:tcPr>
          <w:p>
            <w:pPr>
              <w:pStyle w:val="12"/>
            </w:pPr>
            <w:r>
              <w:t>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用于垃圾运输处理费支出。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200.00</w:t>
            </w:r>
          </w:p>
        </w:tc>
        <w:tc>
          <w:tcPr>
            <w:tcW w:w="2835" w:type="dxa"/>
            <w:vAlign w:val="center"/>
          </w:tcPr>
          <w:p>
            <w:pPr>
              <w:pStyle w:val="13"/>
            </w:pPr>
            <w:r>
              <w:t>400.00</w:t>
            </w:r>
          </w:p>
        </w:tc>
        <w:tc>
          <w:tcPr>
            <w:tcW w:w="2551" w:type="dxa"/>
            <w:vAlign w:val="center"/>
          </w:tcPr>
          <w:p>
            <w:pPr>
              <w:pStyle w:val="13"/>
            </w:pPr>
            <w:r>
              <w:t>600.00</w:t>
            </w:r>
          </w:p>
        </w:tc>
        <w:tc>
          <w:tcPr>
            <w:tcW w:w="3544" w:type="dxa"/>
            <w:gridSpan w:val="2"/>
            <w:vAlign w:val="center"/>
          </w:tcPr>
          <w:p>
            <w:pPr>
              <w:pStyle w:val="13"/>
            </w:pPr>
            <w:r>
              <w:t>800.00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1.实行垃圾分类运输处理，及时将城乡生活垃圾和餐厨垃圾进行无害化处理。</w:t>
            </w:r>
          </w:p>
          <w:p>
            <w:pPr>
              <w:pStyle w:val="12"/>
            </w:pPr>
            <w:r>
              <w:t>2.净化空气，避免环境污染，有效改善城乡居住环境。</w:t>
            </w:r>
          </w:p>
          <w:p>
            <w:pPr>
              <w:pStyle w:val="12"/>
            </w:pPr>
            <w:r>
              <w:t>3.保障垃圾清运日产日清、为居民提供洁净卫生的居住环境。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无害化处理量</w:t>
            </w:r>
          </w:p>
        </w:tc>
        <w:tc>
          <w:tcPr>
            <w:tcW w:w="5386" w:type="dxa"/>
            <w:vAlign w:val="center"/>
          </w:tcPr>
          <w:p>
            <w:pPr>
              <w:pStyle w:val="12"/>
            </w:pPr>
            <w:r>
              <w:t>当年度无害化垃圾处理数量</w:t>
            </w:r>
          </w:p>
        </w:tc>
        <w:tc>
          <w:tcPr>
            <w:tcW w:w="2268" w:type="dxa"/>
            <w:vAlign w:val="center"/>
          </w:tcPr>
          <w:p>
            <w:pPr>
              <w:pStyle w:val="12"/>
            </w:pPr>
            <w:r>
              <w:t>≥300吨/月</w:t>
            </w:r>
          </w:p>
        </w:tc>
        <w:tc>
          <w:tcPr>
            <w:tcW w:w="1276" w:type="dxa"/>
            <w:vAlign w:val="center"/>
          </w:tcPr>
          <w:p>
            <w:pPr>
              <w:pStyle w:val="12"/>
            </w:pPr>
            <w:r>
              <w:t>垃圾量确认单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垃圾清运合格率</w:t>
            </w:r>
          </w:p>
        </w:tc>
        <w:tc>
          <w:tcPr>
            <w:tcW w:w="5386" w:type="dxa"/>
            <w:vAlign w:val="center"/>
          </w:tcPr>
          <w:p>
            <w:pPr>
              <w:pStyle w:val="12"/>
            </w:pPr>
            <w:r>
              <w:t>生活垃圾应实行密闭化运输，运输过程中不得滴漏、撒落；对撒漏物应及时清除干净，反映垃圾清运的合格状况</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反映垃圾清运的及时性状况</w:t>
            </w:r>
          </w:p>
        </w:tc>
        <w:tc>
          <w:tcPr>
            <w:tcW w:w="2268" w:type="dxa"/>
            <w:vAlign w:val="center"/>
          </w:tcPr>
          <w:p>
            <w:pPr>
              <w:pStyle w:val="12"/>
            </w:pPr>
            <w:r>
              <w:t>100%</w:t>
            </w:r>
          </w:p>
        </w:tc>
        <w:tc>
          <w:tcPr>
            <w:tcW w:w="1276" w:type="dxa"/>
            <w:vAlign w:val="center"/>
          </w:tcPr>
          <w:p>
            <w:pPr>
              <w:pStyle w:val="12"/>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运输处理成本</w:t>
            </w:r>
          </w:p>
        </w:tc>
        <w:tc>
          <w:tcPr>
            <w:tcW w:w="5386" w:type="dxa"/>
            <w:vAlign w:val="center"/>
          </w:tcPr>
          <w:p>
            <w:pPr>
              <w:pStyle w:val="12"/>
            </w:pPr>
            <w:r>
              <w:t>垃圾运输处理单价</w:t>
            </w:r>
          </w:p>
        </w:tc>
        <w:tc>
          <w:tcPr>
            <w:tcW w:w="2268" w:type="dxa"/>
            <w:vAlign w:val="center"/>
          </w:tcPr>
          <w:p>
            <w:pPr>
              <w:pStyle w:val="12"/>
            </w:pPr>
            <w:r>
              <w:t>≤128.56元/吨</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保障垃圾及时清运处理，减少环境污染</w:t>
            </w:r>
          </w:p>
        </w:tc>
        <w:tc>
          <w:tcPr>
            <w:tcW w:w="5386" w:type="dxa"/>
            <w:vAlign w:val="center"/>
          </w:tcPr>
          <w:p>
            <w:pPr>
              <w:pStyle w:val="12"/>
            </w:pPr>
            <w:r>
              <w:t>垃圾及时清运，提升城市形象，美化城市环境</w:t>
            </w:r>
          </w:p>
        </w:tc>
        <w:tc>
          <w:tcPr>
            <w:tcW w:w="2268" w:type="dxa"/>
            <w:vAlign w:val="center"/>
          </w:tcPr>
          <w:p>
            <w:pPr>
              <w:pStyle w:val="12"/>
            </w:pPr>
            <w:r>
              <w:t>垃圾及时清运，提升城市形象，美化城市环境</w:t>
            </w:r>
          </w:p>
        </w:tc>
        <w:tc>
          <w:tcPr>
            <w:tcW w:w="1276" w:type="dxa"/>
            <w:vAlign w:val="center"/>
          </w:tcPr>
          <w:p>
            <w:pPr>
              <w:pStyle w:val="12"/>
            </w:pPr>
            <w:r>
              <w:t>考核单</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8、垃圾中转站运行维护费绩效目标表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13062826P00060010008N</w:t>
            </w:r>
          </w:p>
        </w:tc>
        <w:tc>
          <w:tcPr>
            <w:tcW w:w="2835" w:type="dxa"/>
            <w:vAlign w:val="center"/>
          </w:tcPr>
          <w:p>
            <w:pPr>
              <w:pStyle w:val="10"/>
            </w:pPr>
            <w:r>
              <w:t>项目名称</w:t>
            </w:r>
          </w:p>
        </w:tc>
        <w:tc>
          <w:tcPr>
            <w:tcW w:w="6095" w:type="dxa"/>
            <w:gridSpan w:val="3"/>
            <w:vAlign w:val="center"/>
          </w:tcPr>
          <w:p>
            <w:pPr>
              <w:pStyle w:val="12"/>
            </w:pPr>
            <w:r>
              <w:t>垃圾中转站运行维护费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用于垃圾中转站运行维护费项目支出。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1.保障垃圾中转站正常运转。</w:t>
            </w:r>
          </w:p>
          <w:p>
            <w:pPr>
              <w:pStyle w:val="12"/>
            </w:pPr>
            <w:r>
              <w:t>2.实现垃圾日产日清，改善城乡环境卫生脏乱差现状。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设备运转率</w:t>
            </w:r>
          </w:p>
        </w:tc>
        <w:tc>
          <w:tcPr>
            <w:tcW w:w="5386" w:type="dxa"/>
            <w:vAlign w:val="center"/>
          </w:tcPr>
          <w:p>
            <w:pPr>
              <w:pStyle w:val="12"/>
            </w:pPr>
            <w:r>
              <w:t>正常运转设备占全部设备数量的比例</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维修合格率</w:t>
            </w:r>
          </w:p>
        </w:tc>
        <w:tc>
          <w:tcPr>
            <w:tcW w:w="5386" w:type="dxa"/>
            <w:vAlign w:val="center"/>
          </w:tcPr>
          <w:p>
            <w:pPr>
              <w:pStyle w:val="12"/>
            </w:pPr>
            <w:r>
              <w:t>维修质量合格产品与全部维修产品比例</w:t>
            </w:r>
          </w:p>
        </w:tc>
        <w:tc>
          <w:tcPr>
            <w:tcW w:w="2268" w:type="dxa"/>
            <w:vAlign w:val="center"/>
          </w:tcPr>
          <w:p>
            <w:pPr>
              <w:pStyle w:val="12"/>
            </w:pPr>
            <w:r>
              <w:t>100%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是否在规定时间内对资金进行支付</w:t>
            </w:r>
          </w:p>
        </w:tc>
        <w:tc>
          <w:tcPr>
            <w:tcW w:w="2268" w:type="dxa"/>
            <w:vAlign w:val="center"/>
          </w:tcPr>
          <w:p>
            <w:pPr>
              <w:pStyle w:val="12"/>
            </w:pPr>
            <w:r>
              <w:t>≥100%</w:t>
            </w:r>
          </w:p>
        </w:tc>
        <w:tc>
          <w:tcPr>
            <w:tcW w:w="1276" w:type="dxa"/>
            <w:vAlign w:val="center"/>
          </w:tcPr>
          <w:p>
            <w:pPr>
              <w:pStyle w:val="12"/>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租赁单价</w:t>
            </w:r>
          </w:p>
        </w:tc>
        <w:tc>
          <w:tcPr>
            <w:tcW w:w="5386" w:type="dxa"/>
            <w:vAlign w:val="center"/>
          </w:tcPr>
          <w:p>
            <w:pPr>
              <w:pStyle w:val="12"/>
            </w:pPr>
            <w:r>
              <w:t>专用车辆租赁单价</w:t>
            </w:r>
          </w:p>
        </w:tc>
        <w:tc>
          <w:tcPr>
            <w:tcW w:w="2268" w:type="dxa"/>
            <w:vAlign w:val="center"/>
          </w:tcPr>
          <w:p>
            <w:pPr>
              <w:pStyle w:val="12"/>
            </w:pPr>
            <w:r>
              <w:t>≤1.5万元</w:t>
            </w:r>
          </w:p>
        </w:tc>
        <w:tc>
          <w:tcPr>
            <w:tcW w:w="1276" w:type="dxa"/>
            <w:vAlign w:val="center"/>
          </w:tcPr>
          <w:p>
            <w:pPr>
              <w:pStyle w:val="12"/>
            </w:pPr>
            <w:r>
              <w:t>合同及政府批示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生活垃圾及时中转，设备正常运行，改善卫生环境</w:t>
            </w:r>
          </w:p>
        </w:tc>
        <w:tc>
          <w:tcPr>
            <w:tcW w:w="5386" w:type="dxa"/>
            <w:vAlign w:val="center"/>
          </w:tcPr>
          <w:p>
            <w:pPr>
              <w:pStyle w:val="12"/>
            </w:pPr>
            <w:r>
              <w:t>反映垃圾中转站正常运转情况</w:t>
            </w:r>
          </w:p>
        </w:tc>
        <w:tc>
          <w:tcPr>
            <w:tcW w:w="2268" w:type="dxa"/>
            <w:vAlign w:val="center"/>
          </w:tcPr>
          <w:p>
            <w:pPr>
              <w:pStyle w:val="12"/>
            </w:pPr>
            <w:r>
              <w:t>生活垃圾及时中转，设备正常运行，改善卫生环境</w:t>
            </w:r>
          </w:p>
        </w:tc>
        <w:tc>
          <w:tcPr>
            <w:tcW w:w="1276" w:type="dxa"/>
            <w:vAlign w:val="center"/>
          </w:tcPr>
          <w:p>
            <w:pPr>
              <w:pStyle w:val="12"/>
            </w:pPr>
            <w:r>
              <w:t>合同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9、农村环卫作业市场化经费绩效目标表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13062826P00056910014T</w:t>
            </w:r>
          </w:p>
        </w:tc>
        <w:tc>
          <w:tcPr>
            <w:tcW w:w="2835" w:type="dxa"/>
            <w:vAlign w:val="center"/>
          </w:tcPr>
          <w:p>
            <w:pPr>
              <w:pStyle w:val="10"/>
            </w:pPr>
            <w:r>
              <w:t>项目名称</w:t>
            </w:r>
          </w:p>
        </w:tc>
        <w:tc>
          <w:tcPr>
            <w:tcW w:w="6095" w:type="dxa"/>
            <w:gridSpan w:val="3"/>
            <w:vAlign w:val="center"/>
          </w:tcPr>
          <w:p>
            <w:pPr>
              <w:pStyle w:val="12"/>
            </w:pPr>
            <w:r>
              <w:t>农村环卫作业市场化经费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用于农村环卫作业市场化经费项目支出。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250.00</w:t>
            </w:r>
          </w:p>
        </w:tc>
        <w:tc>
          <w:tcPr>
            <w:tcW w:w="2835" w:type="dxa"/>
            <w:vAlign w:val="center"/>
          </w:tcPr>
          <w:p>
            <w:pPr>
              <w:pStyle w:val="13"/>
            </w:pPr>
            <w:r>
              <w:t>500.00</w:t>
            </w:r>
          </w:p>
        </w:tc>
        <w:tc>
          <w:tcPr>
            <w:tcW w:w="2551" w:type="dxa"/>
            <w:vAlign w:val="center"/>
          </w:tcPr>
          <w:p>
            <w:pPr>
              <w:pStyle w:val="13"/>
            </w:pPr>
            <w:r>
              <w:t>750.00</w:t>
            </w:r>
          </w:p>
        </w:tc>
        <w:tc>
          <w:tcPr>
            <w:tcW w:w="3544" w:type="dxa"/>
            <w:gridSpan w:val="2"/>
            <w:vAlign w:val="center"/>
          </w:tcPr>
          <w:p>
            <w:pPr>
              <w:pStyle w:val="13"/>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1.保障全县123个村庄清扫保洁和垃圾清运。</w:t>
            </w:r>
          </w:p>
          <w:p>
            <w:pPr>
              <w:pStyle w:val="12"/>
            </w:pPr>
            <w:r>
              <w:t>2.改善农村街道脏乱差面貌，创建干净整洁的农村新形象。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服务村庄数量</w:t>
            </w:r>
          </w:p>
        </w:tc>
        <w:tc>
          <w:tcPr>
            <w:tcW w:w="5386" w:type="dxa"/>
            <w:vAlign w:val="center"/>
          </w:tcPr>
          <w:p>
            <w:pPr>
              <w:pStyle w:val="12"/>
            </w:pPr>
            <w:r>
              <w:t>辖区范围内服务村庄覆盖数量</w:t>
            </w:r>
          </w:p>
        </w:tc>
        <w:tc>
          <w:tcPr>
            <w:tcW w:w="2268" w:type="dxa"/>
            <w:vAlign w:val="center"/>
          </w:tcPr>
          <w:p>
            <w:pPr>
              <w:pStyle w:val="12"/>
            </w:pPr>
            <w:r>
              <w:t>123个</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清扫区域合格率</w:t>
            </w:r>
          </w:p>
        </w:tc>
        <w:tc>
          <w:tcPr>
            <w:tcW w:w="5386" w:type="dxa"/>
            <w:vAlign w:val="center"/>
          </w:tcPr>
          <w:p>
            <w:pPr>
              <w:pStyle w:val="12"/>
            </w:pPr>
            <w:r>
              <w:t>反映项目是否按照要求清扫</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工作完成率</w:t>
            </w:r>
          </w:p>
        </w:tc>
        <w:tc>
          <w:tcPr>
            <w:tcW w:w="5386" w:type="dxa"/>
            <w:vAlign w:val="center"/>
          </w:tcPr>
          <w:p>
            <w:pPr>
              <w:pStyle w:val="12"/>
            </w:pPr>
            <w:r>
              <w:t>反映清扫任务完成情况</w:t>
            </w:r>
          </w:p>
        </w:tc>
        <w:tc>
          <w:tcPr>
            <w:tcW w:w="2268" w:type="dxa"/>
            <w:vAlign w:val="center"/>
          </w:tcPr>
          <w:p>
            <w:pPr>
              <w:pStyle w:val="12"/>
            </w:pPr>
            <w:r>
              <w:t>100%</w:t>
            </w:r>
          </w:p>
        </w:tc>
        <w:tc>
          <w:tcPr>
            <w:tcW w:w="1276" w:type="dxa"/>
            <w:vAlign w:val="center"/>
          </w:tcPr>
          <w:p>
            <w:pPr>
              <w:pStyle w:val="12"/>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保障农村垃圾及时清运，改善居民生活环境</w:t>
            </w:r>
          </w:p>
        </w:tc>
        <w:tc>
          <w:tcPr>
            <w:tcW w:w="5386" w:type="dxa"/>
            <w:vAlign w:val="center"/>
          </w:tcPr>
          <w:p>
            <w:pPr>
              <w:pStyle w:val="12"/>
            </w:pPr>
            <w:r>
              <w:t>提升城市形象，美化城市环境，改善农村生活环境</w:t>
            </w:r>
          </w:p>
        </w:tc>
        <w:tc>
          <w:tcPr>
            <w:tcW w:w="2268" w:type="dxa"/>
            <w:vAlign w:val="center"/>
          </w:tcPr>
          <w:p>
            <w:pPr>
              <w:pStyle w:val="12"/>
            </w:pPr>
            <w:r>
              <w:t>提升城市形象，美化城市环境，改善农村生活环境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受访群众达到基本满意以上人数与全体受访人数的比值</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10、数字化城管运行经费绩效目标表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13062826P000600100119</w:t>
            </w:r>
          </w:p>
        </w:tc>
        <w:tc>
          <w:tcPr>
            <w:tcW w:w="2835" w:type="dxa"/>
            <w:vAlign w:val="center"/>
          </w:tcPr>
          <w:p>
            <w:pPr>
              <w:pStyle w:val="10"/>
            </w:pPr>
            <w:r>
              <w:t>项目名称</w:t>
            </w:r>
          </w:p>
        </w:tc>
        <w:tc>
          <w:tcPr>
            <w:tcW w:w="6095" w:type="dxa"/>
            <w:gridSpan w:val="3"/>
            <w:vAlign w:val="center"/>
          </w:tcPr>
          <w:p>
            <w:pPr>
              <w:pStyle w:val="12"/>
            </w:pPr>
            <w:r>
              <w:t>数字化城管运行经费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用于数字化城管运行经费项目支出。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w:t>
            </w:r>
          </w:p>
        </w:tc>
        <w:tc>
          <w:tcPr>
            <w:tcW w:w="2835" w:type="dxa"/>
            <w:vAlign w:val="center"/>
          </w:tcPr>
          <w:p>
            <w:pPr>
              <w:pStyle w:val="13"/>
            </w:pPr>
            <w:r>
              <w:t>15.00</w:t>
            </w:r>
          </w:p>
        </w:tc>
        <w:tc>
          <w:tcPr>
            <w:tcW w:w="2551" w:type="dxa"/>
            <w:vAlign w:val="center"/>
          </w:tcPr>
          <w:p>
            <w:pPr>
              <w:pStyle w:val="13"/>
            </w:pPr>
            <w:r>
              <w:t>22.50</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1.保障数字化管理平台正常运行。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信息采集率</w:t>
            </w:r>
          </w:p>
        </w:tc>
        <w:tc>
          <w:tcPr>
            <w:tcW w:w="5386" w:type="dxa"/>
            <w:vAlign w:val="center"/>
          </w:tcPr>
          <w:p>
            <w:pPr>
              <w:pStyle w:val="12"/>
            </w:pPr>
            <w:r>
              <w:t>数字化城管平台信息实际采集数量与应采集数量比例</w:t>
            </w:r>
          </w:p>
        </w:tc>
        <w:tc>
          <w:tcPr>
            <w:tcW w:w="2268" w:type="dxa"/>
            <w:vAlign w:val="center"/>
          </w:tcPr>
          <w:p>
            <w:pPr>
              <w:pStyle w:val="12"/>
            </w:pPr>
            <w:r>
              <w:t>≥90%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5386" w:type="dxa"/>
            <w:vAlign w:val="center"/>
          </w:tcPr>
          <w:p>
            <w:pPr>
              <w:pStyle w:val="12"/>
            </w:pPr>
            <w:r>
              <w:t>发生系统故障的设备与全体运行设备的比例</w:t>
            </w:r>
          </w:p>
        </w:tc>
        <w:tc>
          <w:tcPr>
            <w:tcW w:w="2268" w:type="dxa"/>
            <w:vAlign w:val="center"/>
          </w:tcPr>
          <w:p>
            <w:pPr>
              <w:pStyle w:val="12"/>
            </w:pPr>
            <w:r>
              <w:t>≤10%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信息采集及时率</w:t>
            </w:r>
          </w:p>
        </w:tc>
        <w:tc>
          <w:tcPr>
            <w:tcW w:w="5386" w:type="dxa"/>
            <w:vAlign w:val="center"/>
          </w:tcPr>
          <w:p>
            <w:pPr>
              <w:pStyle w:val="12"/>
            </w:pPr>
            <w:r>
              <w:t>反映数字化城管平台信息采集时间效率</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城市管理服务水平信息共享率</w:t>
            </w:r>
          </w:p>
        </w:tc>
        <w:tc>
          <w:tcPr>
            <w:tcW w:w="5386" w:type="dxa"/>
            <w:vAlign w:val="center"/>
          </w:tcPr>
          <w:p>
            <w:pPr>
              <w:pStyle w:val="12"/>
            </w:pPr>
            <w:r>
              <w:t>实现了对城市“科学、雅阁、精细、长效”的管理，反映信息共享情况</w:t>
            </w:r>
          </w:p>
        </w:tc>
        <w:tc>
          <w:tcPr>
            <w:tcW w:w="2268" w:type="dxa"/>
            <w:vAlign w:val="center"/>
          </w:tcPr>
          <w:p>
            <w:pPr>
              <w:pStyle w:val="12"/>
            </w:pPr>
            <w:r>
              <w:t>100%</w:t>
            </w:r>
          </w:p>
        </w:tc>
        <w:tc>
          <w:tcPr>
            <w:tcW w:w="1276" w:type="dxa"/>
            <w:vAlign w:val="center"/>
          </w:tcPr>
          <w:p>
            <w:pPr>
              <w:pStyle w:val="12"/>
            </w:pPr>
            <w:r>
              <w:t>合同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11、执法专项经费绩效目标表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13062826P000284104162</w:t>
            </w:r>
          </w:p>
        </w:tc>
        <w:tc>
          <w:tcPr>
            <w:tcW w:w="2835" w:type="dxa"/>
            <w:vAlign w:val="center"/>
          </w:tcPr>
          <w:p>
            <w:pPr>
              <w:pStyle w:val="10"/>
            </w:pPr>
            <w:r>
              <w:t>项目名称</w:t>
            </w:r>
          </w:p>
        </w:tc>
        <w:tc>
          <w:tcPr>
            <w:tcW w:w="6095" w:type="dxa"/>
            <w:gridSpan w:val="3"/>
            <w:vAlign w:val="center"/>
          </w:tcPr>
          <w:p>
            <w:pPr>
              <w:pStyle w:val="12"/>
            </w:pPr>
            <w:r>
              <w:t>执法专项经费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用于执法专项经费项目支出。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w:t>
            </w:r>
          </w:p>
        </w:tc>
        <w:tc>
          <w:tcPr>
            <w:tcW w:w="2835" w:type="dxa"/>
            <w:vAlign w:val="center"/>
          </w:tcPr>
          <w:p>
            <w:pPr>
              <w:pStyle w:val="13"/>
            </w:pPr>
            <w:r>
              <w:t>15.00</w:t>
            </w:r>
          </w:p>
        </w:tc>
        <w:tc>
          <w:tcPr>
            <w:tcW w:w="2551" w:type="dxa"/>
            <w:vAlign w:val="center"/>
          </w:tcPr>
          <w:p>
            <w:pPr>
              <w:pStyle w:val="13"/>
            </w:pPr>
            <w:r>
              <w:t>22.50</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1.提高城市市容市貌管理和执法、提升城市形象。</w:t>
            </w:r>
          </w:p>
          <w:p>
            <w:pPr>
              <w:pStyle w:val="12"/>
            </w:pPr>
            <w:r>
              <w:t>2.保障执法车辆正常运行，城市管理执法工作正常开展。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执法车辆正常运行数量</w:t>
            </w:r>
          </w:p>
        </w:tc>
        <w:tc>
          <w:tcPr>
            <w:tcW w:w="5386" w:type="dxa"/>
            <w:vAlign w:val="center"/>
          </w:tcPr>
          <w:p>
            <w:pPr>
              <w:pStyle w:val="12"/>
            </w:pPr>
            <w:r>
              <w:t>执法车辆正常运行数量</w:t>
            </w:r>
          </w:p>
        </w:tc>
        <w:tc>
          <w:tcPr>
            <w:tcW w:w="2268" w:type="dxa"/>
            <w:vAlign w:val="center"/>
          </w:tcPr>
          <w:p>
            <w:pPr>
              <w:pStyle w:val="12"/>
            </w:pPr>
            <w:r>
              <w:t>≥7辆</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质量合格车辆数量与总数量的比值</w:t>
            </w:r>
          </w:p>
        </w:tc>
        <w:tc>
          <w:tcPr>
            <w:tcW w:w="2268" w:type="dxa"/>
            <w:vAlign w:val="center"/>
          </w:tcPr>
          <w:p>
            <w:pPr>
              <w:pStyle w:val="12"/>
            </w:pPr>
            <w:r>
              <w:t>100%</w:t>
            </w:r>
          </w:p>
        </w:tc>
        <w:tc>
          <w:tcPr>
            <w:tcW w:w="1276" w:type="dxa"/>
            <w:vAlign w:val="center"/>
          </w:tcPr>
          <w:p>
            <w:pPr>
              <w:pStyle w:val="12"/>
            </w:pPr>
            <w:r>
              <w:t>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反映资金支付的及时性情况</w:t>
            </w:r>
          </w:p>
        </w:tc>
        <w:tc>
          <w:tcPr>
            <w:tcW w:w="2268" w:type="dxa"/>
            <w:vAlign w:val="center"/>
          </w:tcPr>
          <w:p>
            <w:pPr>
              <w:pStyle w:val="12"/>
            </w:pPr>
            <w:r>
              <w:t>100%</w:t>
            </w:r>
          </w:p>
        </w:tc>
        <w:tc>
          <w:tcPr>
            <w:tcW w:w="1276" w:type="dxa"/>
            <w:vAlign w:val="center"/>
          </w:tcPr>
          <w:p>
            <w:pPr>
              <w:pStyle w:val="12"/>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实际支出金额占预算金额的百分比</w:t>
            </w:r>
          </w:p>
        </w:tc>
        <w:tc>
          <w:tcPr>
            <w:tcW w:w="2268" w:type="dxa"/>
            <w:vAlign w:val="center"/>
          </w:tcPr>
          <w:p>
            <w:pPr>
              <w:pStyle w:val="12"/>
            </w:pPr>
            <w:r>
              <w:t>≤100%</w:t>
            </w:r>
          </w:p>
        </w:tc>
        <w:tc>
          <w:tcPr>
            <w:tcW w:w="1276" w:type="dxa"/>
            <w:vAlign w:val="center"/>
          </w:tcPr>
          <w:p>
            <w:pPr>
              <w:pStyle w:val="12"/>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违规建设与经营问题解决率</w:t>
            </w:r>
          </w:p>
        </w:tc>
        <w:tc>
          <w:tcPr>
            <w:tcW w:w="5386" w:type="dxa"/>
            <w:vAlign w:val="center"/>
          </w:tcPr>
          <w:p>
            <w:pPr>
              <w:pStyle w:val="12"/>
            </w:pPr>
            <w:r>
              <w:t>反映在发现的违建、店外经营等问题的整改情况</w:t>
            </w:r>
          </w:p>
        </w:tc>
        <w:tc>
          <w:tcPr>
            <w:tcW w:w="2268" w:type="dxa"/>
            <w:vAlign w:val="center"/>
          </w:tcPr>
          <w:p>
            <w:pPr>
              <w:pStyle w:val="12"/>
            </w:pPr>
            <w:r>
              <w:t>≥90%</w:t>
            </w:r>
          </w:p>
        </w:tc>
        <w:tc>
          <w:tcPr>
            <w:tcW w:w="1276" w:type="dxa"/>
            <w:vAlign w:val="center"/>
          </w:tcPr>
          <w:p>
            <w:pPr>
              <w:pStyle w:val="12"/>
            </w:pPr>
            <w:r>
              <w:t>合同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2300.00</w:t>
            </w:r>
          </w:p>
        </w:tc>
        <w:tc>
          <w:tcPr>
            <w:tcW w:w="964" w:type="dxa"/>
            <w:vAlign w:val="center"/>
          </w:tcPr>
          <w:p>
            <w:pPr>
              <w:pStyle w:val="15"/>
            </w:pPr>
            <w:r>
              <w:t>2300.00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高阳县城市管理综合行政执法局小计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2300.00</w:t>
            </w:r>
          </w:p>
        </w:tc>
        <w:tc>
          <w:tcPr>
            <w:tcW w:w="964" w:type="dxa"/>
            <w:vAlign w:val="center"/>
          </w:tcPr>
          <w:p>
            <w:pPr>
              <w:pStyle w:val="15"/>
            </w:pPr>
            <w:r>
              <w:t>2300.00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城区环卫作业市场化经费</w:t>
            </w:r>
          </w:p>
        </w:tc>
        <w:tc>
          <w:tcPr>
            <w:tcW w:w="964" w:type="dxa"/>
            <w:vAlign w:val="center"/>
          </w:tcPr>
          <w:p>
            <w:pPr>
              <w:pStyle w:val="11"/>
            </w:pPr>
            <w:r>
              <w:t>1300.00</w:t>
            </w:r>
          </w:p>
        </w:tc>
        <w:tc>
          <w:tcPr>
            <w:tcW w:w="1134" w:type="dxa"/>
            <w:vAlign w:val="center"/>
          </w:tcPr>
          <w:p>
            <w:pPr>
              <w:pStyle w:val="12"/>
            </w:pPr>
            <w:r>
              <w:t>清扫服务</w:t>
            </w:r>
          </w:p>
        </w:tc>
        <w:tc>
          <w:tcPr>
            <w:tcW w:w="1134" w:type="dxa"/>
            <w:vAlign w:val="center"/>
          </w:tcPr>
          <w:p>
            <w:pPr>
              <w:pStyle w:val="12"/>
            </w:pPr>
            <w:r>
              <w:t>C13050100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1300.00</w:t>
            </w:r>
          </w:p>
        </w:tc>
        <w:tc>
          <w:tcPr>
            <w:tcW w:w="964" w:type="dxa"/>
            <w:vAlign w:val="center"/>
          </w:tcPr>
          <w:p>
            <w:pPr>
              <w:pStyle w:val="11"/>
            </w:pPr>
            <w:r>
              <w:t>1300.00</w:t>
            </w:r>
          </w:p>
        </w:tc>
        <w:tc>
          <w:tcPr>
            <w:tcW w:w="964" w:type="dxa"/>
            <w:vAlign w:val="center"/>
          </w:tcPr>
          <w:p>
            <w:pPr>
              <w:pStyle w:val="11"/>
            </w:pPr>
            <w:r>
              <w:t>1300.00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农村环卫作业市场化经费</w:t>
            </w:r>
          </w:p>
        </w:tc>
        <w:tc>
          <w:tcPr>
            <w:tcW w:w="964" w:type="dxa"/>
            <w:vAlign w:val="center"/>
          </w:tcPr>
          <w:p>
            <w:pPr>
              <w:pStyle w:val="11"/>
            </w:pPr>
            <w:r>
              <w:t>1000.00</w:t>
            </w:r>
          </w:p>
        </w:tc>
        <w:tc>
          <w:tcPr>
            <w:tcW w:w="1134" w:type="dxa"/>
            <w:vAlign w:val="center"/>
          </w:tcPr>
          <w:p>
            <w:pPr>
              <w:pStyle w:val="12"/>
            </w:pPr>
            <w:r>
              <w:t>清扫服务</w:t>
            </w:r>
          </w:p>
        </w:tc>
        <w:tc>
          <w:tcPr>
            <w:tcW w:w="1134" w:type="dxa"/>
            <w:vAlign w:val="center"/>
          </w:tcPr>
          <w:p>
            <w:pPr>
              <w:pStyle w:val="12"/>
            </w:pPr>
            <w:r>
              <w:t>C13050100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1000.00</w:t>
            </w:r>
          </w:p>
        </w:tc>
        <w:tc>
          <w:tcPr>
            <w:tcW w:w="964" w:type="dxa"/>
            <w:vAlign w:val="center"/>
          </w:tcPr>
          <w:p>
            <w:pPr>
              <w:pStyle w:val="11"/>
            </w:pPr>
            <w:r>
              <w:t>1000.00</w:t>
            </w:r>
          </w:p>
        </w:tc>
        <w:tc>
          <w:tcPr>
            <w:tcW w:w="964" w:type="dxa"/>
            <w:vAlign w:val="center"/>
          </w:tcPr>
          <w:p>
            <w:pPr>
              <w:pStyle w:val="11"/>
            </w:pPr>
            <w:r>
              <w:t>1000.00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高阳县城市管理综合行政执法局上年末固定资产金额为748.97万元（详见下表）。本年度拟购置固定资产总额为36.00万元。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335001高阳县城市管理综合行政执法局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748.97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15</w:t>
            </w:r>
          </w:p>
        </w:tc>
        <w:tc>
          <w:tcPr>
            <w:tcW w:w="2835" w:type="dxa"/>
            <w:vAlign w:val="center"/>
          </w:tcPr>
          <w:p>
            <w:pPr>
              <w:pStyle w:val="11"/>
            </w:pPr>
            <w:r>
              <w:t>431.19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977</w:t>
            </w:r>
          </w:p>
        </w:tc>
        <w:tc>
          <w:tcPr>
            <w:tcW w:w="2835" w:type="dxa"/>
            <w:vAlign w:val="center"/>
          </w:tcPr>
          <w:p>
            <w:pPr>
              <w:pStyle w:val="11"/>
            </w:pPr>
            <w:r>
              <w:t>317.78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sect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bookmarkStart w:id="1" w:name="_GoBack"/>
      <w:bookmarkEnd w:id="1"/>
    </w:p>
    <w:p>
      <w:pPr>
        <w:spacing w:before="0" w:after="0" w:line="500" w:lineRule="exact"/>
        <w:jc w:val="left"/>
        <w:outlineLvl w:val="9"/>
      </w:pP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90E33"/>
    <w:rsid w:val="0F1066D6"/>
    <w:rsid w:val="1BB306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TotalTime>1</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2026-03-12T09:11:00Z</dcterms:created>
  <dc:creator>Administrator</dc:creator>
  <cp:lastModifiedBy>Administrator</cp:lastModifiedBy>
  <dcterms:modified xsi:type="dcterms:W3CDTF">2026-03-12T01:28:55Z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