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34E0">
      <w:pPr>
        <w:snapToGrid w:val="0"/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2024年度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高阳县人民政府办公室</w:t>
      </w:r>
    </w:p>
    <w:p w14:paraId="47493E02"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 w14:paraId="44F1FF12"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 w14:paraId="3CF4FA21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 w14:paraId="00D25BFE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（一）部门绩效自评工作组织情况</w:t>
      </w:r>
    </w:p>
    <w:p w14:paraId="681E82EB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高阳县人民政府办公室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高度重视绩效自评工作，</w:t>
      </w:r>
      <w:r>
        <w:rPr>
          <w:rFonts w:hint="eastAsia" w:ascii="方正仿宋_GBK" w:hAnsi="宋体" w:eastAsia="方正仿宋_GBK"/>
          <w:sz w:val="32"/>
          <w:szCs w:val="32"/>
        </w:rPr>
        <w:t>严格按照县财政局通知要求，确定以县政府办公室为本部门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以后</w:t>
      </w:r>
      <w:r>
        <w:rPr>
          <w:rFonts w:hint="eastAsia" w:ascii="方正仿宋_GBK" w:hAnsi="宋体" w:eastAsia="方正仿宋_GBK"/>
          <w:sz w:val="32"/>
          <w:szCs w:val="32"/>
        </w:rPr>
        <w:t>年度绩效自评工作主体，成立绩效自评工作领导小组，召开机关班子会议，开展绩效自评工作。</w:t>
      </w:r>
    </w:p>
    <w:p w14:paraId="455280B3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（二）部门绩效自评工作实施过程</w:t>
      </w:r>
    </w:p>
    <w:p w14:paraId="2005E77C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根据县财政局绩效自评管理办法及办公室预算绩效管理实施方案，办公室绩效自评工作领导小组着重对202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年度办公室整体支出情况进行了绩效自评。自评工作遵循全面覆盖、程序简便、客观公正、公开透明原则，以国家法律法规、方针政策和财政部门相关制度为主要依据，组织专业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 w14:paraId="2DCA30F3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（三）部门预算安排及资金分配拨付情况</w:t>
      </w:r>
    </w:p>
    <w:p w14:paraId="162B5C45"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本年度</w:t>
      </w:r>
      <w:r>
        <w:rPr>
          <w:rFonts w:hint="eastAsia" w:ascii="方正仿宋_GBK" w:hAnsi="宋体" w:eastAsia="方正仿宋_GBK"/>
          <w:sz w:val="32"/>
          <w:szCs w:val="32"/>
        </w:rPr>
        <w:t>项目预算安排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226.47</w:t>
      </w:r>
      <w:r>
        <w:rPr>
          <w:rFonts w:hint="eastAsia" w:ascii="方正仿宋_GBK" w:hAnsi="宋体" w:eastAsia="方正仿宋_GBK"/>
          <w:sz w:val="32"/>
          <w:szCs w:val="32"/>
        </w:rPr>
        <w:t>万元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涉及项目20</w:t>
      </w:r>
      <w:r>
        <w:rPr>
          <w:rFonts w:hint="eastAsia" w:ascii="方正仿宋_GBK" w:hAnsi="宋体" w:eastAsia="方正仿宋_GBK"/>
          <w:sz w:val="32"/>
          <w:szCs w:val="32"/>
        </w:rPr>
        <w:t>个，主要用于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</w:p>
    <w:p w14:paraId="13648079"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</w:p>
    <w:p w14:paraId="196B1356"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</w:p>
    <w:p w14:paraId="13D904C5"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W w:w="5340" w:type="dxa"/>
        <w:tblInd w:w="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6"/>
        <w:gridCol w:w="2358"/>
      </w:tblGrid>
      <w:tr w14:paraId="26E72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B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本年预算数</w:t>
            </w:r>
          </w:p>
        </w:tc>
      </w:tr>
      <w:tr w14:paraId="78E14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5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政务服务便民热线经费-劳务派遣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6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21.00 </w:t>
            </w:r>
          </w:p>
        </w:tc>
      </w:tr>
      <w:tr w14:paraId="3527C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政务服务便民热线经费-劳务派遣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B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19.23 </w:t>
            </w:r>
          </w:p>
        </w:tc>
      </w:tr>
      <w:tr w14:paraId="05CBE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政府信息公开平台、财政预决算平台建设维护项目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1.00 </w:t>
            </w:r>
          </w:p>
        </w:tc>
      </w:tr>
      <w:tr w14:paraId="50D0B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1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政府项目投资经费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8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 </w:t>
            </w:r>
          </w:p>
        </w:tc>
      </w:tr>
      <w:tr w14:paraId="48231F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政府网站等级保护经费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14.91 </w:t>
            </w:r>
          </w:p>
        </w:tc>
      </w:tr>
      <w:tr w14:paraId="14C77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政府法律顾问经费-聘用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  </w:t>
            </w:r>
          </w:p>
        </w:tc>
      </w:tr>
      <w:tr w14:paraId="7667B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政府办招商推介经费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5.00 </w:t>
            </w:r>
          </w:p>
        </w:tc>
      </w:tr>
      <w:tr w14:paraId="2644A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F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政府办招商推介经费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29.89 </w:t>
            </w:r>
          </w:p>
        </w:tc>
      </w:tr>
      <w:tr w14:paraId="302C6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政府办网络光纤租用费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12.31 </w:t>
            </w:r>
          </w:p>
        </w:tc>
      </w:tr>
      <w:tr w14:paraId="57BAC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政府办网络光纤租用费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4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12.32 </w:t>
            </w:r>
          </w:p>
        </w:tc>
      </w:tr>
      <w:tr w14:paraId="335AE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政府办金融工作经费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19.96 </w:t>
            </w:r>
          </w:p>
        </w:tc>
      </w:tr>
      <w:tr w14:paraId="4637C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5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政府办金融工作经费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4.70 </w:t>
            </w:r>
          </w:p>
        </w:tc>
      </w:tr>
      <w:tr w14:paraId="5C675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政府办广告牌租赁费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D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 </w:t>
            </w:r>
          </w:p>
        </w:tc>
      </w:tr>
      <w:tr w14:paraId="16BC4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2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政府办广告牌租赁费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7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</w:tr>
      <w:tr w14:paraId="68046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政府办地方志工作经费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   </w:t>
            </w:r>
          </w:p>
        </w:tc>
      </w:tr>
      <w:tr w14:paraId="59001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9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政府办地方志工作经费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E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9.16 </w:t>
            </w:r>
          </w:p>
        </w:tc>
      </w:tr>
      <w:tr w14:paraId="7A67F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公务用车更新购置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18.00 </w:t>
            </w:r>
          </w:p>
        </w:tc>
      </w:tr>
      <w:tr w14:paraId="0E018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8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  </w:t>
            </w:r>
          </w:p>
        </w:tc>
      </w:tr>
      <w:tr w14:paraId="64E0C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5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高阳县公务用车服务平台车辆经费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39.00 </w:t>
            </w:r>
          </w:p>
        </w:tc>
      </w:tr>
      <w:tr w14:paraId="03639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OA系统升级项目经费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   </w:t>
            </w:r>
          </w:p>
        </w:tc>
      </w:tr>
    </w:tbl>
    <w:p w14:paraId="67E293B9"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已拨付到位并严格按照支出内容支出。</w:t>
      </w:r>
    </w:p>
    <w:p w14:paraId="24DCDCFB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（四）部门日常财务管理情况</w:t>
      </w:r>
    </w:p>
    <w:p w14:paraId="44FEE205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年度，县政府办公室严格按照相关法律法规和财务制度不断完善、加强财务管理。健全了财务管理和监督相关制度，资金申请和拨付严格按照财务制度和有关程序，预算、决算工作坚持公开透明，财务工作日趋规范。</w:t>
      </w:r>
    </w:p>
    <w:p w14:paraId="3D9AB319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 w14:paraId="0451B04F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（一）部门整体工作开展情况</w:t>
      </w:r>
    </w:p>
    <w:p w14:paraId="33B6ACA9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度</w:t>
      </w:r>
      <w:r>
        <w:rPr>
          <w:rFonts w:hint="eastAsia" w:ascii="方正仿宋_GBK" w:hAnsi="宋体" w:eastAsia="方正仿宋_GBK"/>
          <w:sz w:val="32"/>
          <w:szCs w:val="32"/>
        </w:rPr>
        <w:t>，政府办公室紧紧围绕县委、县政府确定的各项重点工作，坚持目标要求与实际工作相结合，解决问题与提高素质相结合，进一步增强推动加快发展、科学发展的信心和决心，强化中心意识、服务意识和效率意识，团结协作，求真务实，攻坚克难，确保圆满完成全年任务目标。</w:t>
      </w:r>
    </w:p>
    <w:p w14:paraId="7CCD3430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第一、总体思路</w:t>
      </w:r>
    </w:p>
    <w:p w14:paraId="01870EB6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以党的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二十</w:t>
      </w:r>
      <w:r>
        <w:rPr>
          <w:rFonts w:hint="eastAsia" w:ascii="方正仿宋_GBK" w:hAnsi="宋体" w:eastAsia="方正仿宋_GBK"/>
          <w:sz w:val="32"/>
          <w:szCs w:val="32"/>
        </w:rPr>
        <w:t>大和全国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两会</w:t>
      </w:r>
      <w:r>
        <w:rPr>
          <w:rFonts w:hint="eastAsia" w:ascii="方正仿宋_GBK" w:hAnsi="宋体" w:eastAsia="方正仿宋_GBK"/>
          <w:sz w:val="32"/>
          <w:szCs w:val="32"/>
        </w:rPr>
        <w:t>精神为指导，认真落实县委、县政府的决策部署，以“增强全局意识、改进机关作风、提高工作水平、促进科学发展”为主题，突出中心，强化管理，主动协调，高效服务，努力开创办公室各项工作新局面。</w:t>
      </w:r>
    </w:p>
    <w:p w14:paraId="4BB0622E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第二、目标要求</w:t>
      </w:r>
    </w:p>
    <w:p w14:paraId="0A4AC38F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高质量办文。起草文件要做到思路明确、内容翔实；传送文件要保证程序合理、格式规范；印发文件要力争及时准确。</w:t>
      </w:r>
    </w:p>
    <w:p w14:paraId="28C09D37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高水平办事。在做好办公室日常公务接待的同时，着力做好县政府和办公室领导交办的各项工作，切实做到为领导服务优质高效，为机关、基层服务尽心尽力。</w:t>
      </w:r>
    </w:p>
    <w:p w14:paraId="30609EC4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标准办会。认真做好政府全会、政府常务会、县长办公会及其他专项会议的会务组织工作，会前做好会议通知、会场布置、人员签到，会中做好会议记录，会后及时制发会议纪要，确保会议部署的工作如期落实。</w:t>
      </w:r>
    </w:p>
    <w:p w14:paraId="05423092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第三、工作重点</w:t>
      </w:r>
    </w:p>
    <w:p w14:paraId="34283DD2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是中心工作要取得新进展。把思想和行动统一到县委、县政府对经济发展的分析决策上来，以稳增长、调结构、攻重点、抓改革、惠民生、优环境为着力点，围绕产业升级、项目建设、农业现代化、文化建设、两个环境建设等重点工作，进一步加大协调和服务力度，及时解决工作进展中遇到的困难和问题，确保各项工作落到实处。</w:t>
      </w:r>
    </w:p>
    <w:p w14:paraId="2171C37B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是参谋助手作用要发挥新水平。进一步强化服务意识，努力实现由单一性服务向全方位服务转变，一般化服务向深层次服务转变。深化信息服务，提高信息报送质量，准确把握国策、县情、民意，及时反映重要情况、先进做法和成功经验，做到灵敏捕捉，及时报送；针对经济社会发展中的突出矛盾和深层次问题，有针对性的开展调查研究，为领导决策提供科学依据。</w:t>
      </w:r>
    </w:p>
    <w:p w14:paraId="441AC7E6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（二）专项资金和具体预算支出项目的预期绩效目标完成情况</w:t>
      </w:r>
    </w:p>
    <w:p w14:paraId="65DF572D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本年度</w:t>
      </w:r>
      <w:r>
        <w:rPr>
          <w:rFonts w:hint="eastAsia" w:ascii="方正仿宋_GBK" w:hAnsi="宋体" w:eastAsia="方正仿宋_GBK"/>
          <w:sz w:val="32"/>
          <w:szCs w:val="32"/>
        </w:rPr>
        <w:t>项目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宋体" w:eastAsia="方正仿宋_GBK"/>
          <w:sz w:val="32"/>
          <w:szCs w:val="32"/>
        </w:rPr>
        <w:t>个，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具体情况如下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</w:p>
    <w:tbl>
      <w:tblPr>
        <w:tblStyle w:val="4"/>
        <w:tblW w:w="9185" w:type="dxa"/>
        <w:tblInd w:w="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1610"/>
        <w:gridCol w:w="1610"/>
        <w:gridCol w:w="1610"/>
      </w:tblGrid>
      <w:tr w14:paraId="1A5F3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7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7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实际支出数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7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评价得分</w:t>
            </w:r>
          </w:p>
        </w:tc>
      </w:tr>
      <w:tr w14:paraId="4B6A4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4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政务服务便民热线经费-劳务派遣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C3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E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D3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4D3C6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6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政务服务便民热线经费-劳务派遣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E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19.22595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29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19.22595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5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17007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3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政府信息公开平台、财政预决算平台建设维护项目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88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4C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A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04BF6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政府项目投资经费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C7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8F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869C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DF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A0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政府网站等级保护经费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9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14.911429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D6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14.911429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9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237A9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政府法律顾问经费-聘用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5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32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170D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565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政府办招商推介经费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D7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10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BC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3ED0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政府办招商推介经费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4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29.89047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A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29.89047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4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308A2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B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政府办网络光纤租用费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B6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12.3092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1A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12.3092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4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4AE03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9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政府办网络光纤租用费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F6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60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3F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156DA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8F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政府办金融工作经费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6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F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B9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619EA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2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政府办金融工作经费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55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72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7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5BBA1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政府办广告牌租赁费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B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1B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3AF4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93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C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政府办广告牌租赁费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40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85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1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197FD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7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政府办地方志工作经费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5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94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15A2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9E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政府办地方志工作经费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40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CB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5F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5B10F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B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公务用车更新购置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4E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E6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17.181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80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32C00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3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16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44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DED6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F46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高阳县公务用车服务平台车辆经费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E9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96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4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56D72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1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OA系统升级项目经费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E8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44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09C4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20AB70C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（三）存在问题及评价结论</w:t>
      </w:r>
    </w:p>
    <w:p w14:paraId="27E678DA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通过自查自评，财务开支中存在科目不明晰、项目支出科目有待细化、项目支出进度未按照年初预算进行等问题。绩效自评工作领导小组认为，各项目绩效目标总体按照预算较好完成，但是存在支出科目不明晰、支出进度不规范等问题，需要在今后工作中认真加以改进。</w:t>
      </w:r>
    </w:p>
    <w:p w14:paraId="02E848ED">
      <w:pPr>
        <w:snapToGrid w:val="0"/>
        <w:spacing w:line="58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p w14:paraId="1A0F3C8C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 w14:paraId="16622149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一是项目资金申请、支出后置，对项目如期完成造成一定影响。因此，今后设定年初项目时，应通盘考虑全年工作，争取与财政部门沟通协调，把所有项目列入预算内。</w:t>
      </w:r>
    </w:p>
    <w:p w14:paraId="6091B8A8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二是项目设置不够精细。设定执行进度时，未考虑到工作安排以及工作实际，导致项目实际进度与年初预算差距较大，影响项目绩效完成。</w:t>
      </w:r>
    </w:p>
    <w:p w14:paraId="7ED911A0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 w14:paraId="6B8E32A8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针对绩效自评中发现问题，办公室绩效自评工作领导小组提出：</w:t>
      </w:r>
    </w:p>
    <w:p w14:paraId="456AFBB7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一要进一步建立健全财务制度，加强财务管理，确保财务工作依法依规、科学规范、公开透明。</w:t>
      </w:r>
    </w:p>
    <w:p w14:paraId="32AA2A34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二要进一步加强预算编制管理。通过调研，科学谋划全年工作，合理确定年初项目。</w:t>
      </w:r>
    </w:p>
    <w:p w14:paraId="6DD9219D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三要合理确定、细化项目绩效目标，确保项目绩效设定科学合理，易于执行。</w:t>
      </w:r>
    </w:p>
    <w:p w14:paraId="6ECAC2BB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四要通盘考虑工作实际，确保项目资金到位、支出以及进度按照项目绩效预期进行。</w:t>
      </w:r>
    </w:p>
    <w:p w14:paraId="71AD8A6B"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针对自评结果，进一步完善相关财务制度以及绩效自评相关实施细则，杜绝类似本次自评工作中出现的问题，促进预算设定、执行更加科学，促进我单位财务工作更加规范。</w:t>
      </w:r>
    </w:p>
    <w:p w14:paraId="5F102B3E">
      <w:pPr>
        <w:snapToGrid w:val="0"/>
        <w:spacing w:line="580" w:lineRule="exact"/>
        <w:ind w:firstLine="420" w:firstLineChars="200"/>
        <w:rPr>
          <w:rFonts w:ascii="方正仿宋_GBK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A7A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942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D45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84B0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919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D0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0ODgyNjFkY2MxYzRiMWRkZWFhOGQ2NTljZTlhODA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0025"/>
    <w:rsid w:val="005C236C"/>
    <w:rsid w:val="005C5417"/>
    <w:rsid w:val="005E6EC9"/>
    <w:rsid w:val="00665896"/>
    <w:rsid w:val="0067200C"/>
    <w:rsid w:val="00693A60"/>
    <w:rsid w:val="006E7D57"/>
    <w:rsid w:val="0071336C"/>
    <w:rsid w:val="0071475B"/>
    <w:rsid w:val="00793214"/>
    <w:rsid w:val="007B3348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CE4056"/>
    <w:rsid w:val="00D23678"/>
    <w:rsid w:val="00D43ED6"/>
    <w:rsid w:val="00D74EAF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125A0851"/>
    <w:rsid w:val="28EC743C"/>
    <w:rsid w:val="4064496A"/>
    <w:rsid w:val="577F47B5"/>
    <w:rsid w:val="75814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1675</Words>
  <Characters>1750</Characters>
  <Lines>3</Lines>
  <Paragraphs>1</Paragraphs>
  <TotalTime>0</TotalTime>
  <ScaleCrop>false</ScaleCrop>
  <LinksUpToDate>false</LinksUpToDate>
  <CharactersWithSpaces>1796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清扬婉兮</cp:lastModifiedBy>
  <cp:lastPrinted>2020-01-06T00:47:00Z</cp:lastPrinted>
  <dcterms:modified xsi:type="dcterms:W3CDTF">2025-03-27T07:54:36Z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77EED06145C24DAE929B8A28D9D6933B</vt:lpwstr>
  </property>
  <property fmtid="{D5CDD505-2E9C-101B-9397-08002B2CF9AE}" pid="4" name="KSOTemplateDocerSaveRecord">
    <vt:lpwstr>eyJoZGlkIjoiN2ExNGYyNWJkMGMwOTQ3OTMwMGQxODBlYTNmNGM0MDUiLCJ1c2VySWQiOiI0MjY5MzY3MzMifQ==</vt:lpwstr>
  </property>
</Properties>
</file>