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E8906">
      <w:pPr>
        <w:pStyle w:val="3"/>
        <w:bidi w:val="0"/>
        <w:rPr>
          <w:rFonts w:hint="eastAsia"/>
          <w:lang w:eastAsia="zh-CN"/>
        </w:rPr>
      </w:pPr>
    </w:p>
    <w:p w14:paraId="4A1898CE">
      <w:pPr>
        <w:keepNext w:val="0"/>
        <w:keepLines w:val="0"/>
        <w:pageBreakBefore w:val="0"/>
        <w:widowControl w:val="0"/>
        <w:kinsoku/>
        <w:wordWrap/>
        <w:overflowPunct/>
        <w:topLinePunct w:val="0"/>
        <w:autoSpaceDE/>
        <w:autoSpaceDN/>
        <w:bidi w:val="0"/>
        <w:adjustRightInd/>
        <w:snapToGrid/>
        <w:spacing w:after="298" w:afterLines="100" w:line="540" w:lineRule="exact"/>
        <w:jc w:val="center"/>
        <w:textAlignment w:val="auto"/>
        <w:rPr>
          <w:rFonts w:hint="eastAsia" w:ascii="方正小标宋简体" w:hAnsi="方正小标宋简体" w:eastAsia="方正小标宋简体" w:cs="方正小标宋简体"/>
          <w:sz w:val="44"/>
          <w:szCs w:val="44"/>
          <w:lang w:eastAsia="zh-CN"/>
        </w:rPr>
      </w:pPr>
    </w:p>
    <w:p w14:paraId="6BC0F094">
      <w:pPr>
        <w:keepNext w:val="0"/>
        <w:keepLines w:val="0"/>
        <w:pageBreakBefore w:val="0"/>
        <w:widowControl w:val="0"/>
        <w:kinsoku/>
        <w:wordWrap/>
        <w:overflowPunct/>
        <w:topLinePunct w:val="0"/>
        <w:autoSpaceDE/>
        <w:autoSpaceDN/>
        <w:bidi w:val="0"/>
        <w:adjustRightInd/>
        <w:snapToGrid/>
        <w:spacing w:after="162" w:afterLines="50" w:line="540" w:lineRule="exact"/>
        <w:jc w:val="both"/>
        <w:textAlignment w:val="auto"/>
        <w:rPr>
          <w:rFonts w:hint="eastAsia" w:ascii="方正小标宋简体" w:hAnsi="方正小标宋简体" w:eastAsia="方正小标宋简体" w:cs="方正小标宋简体"/>
          <w:sz w:val="44"/>
          <w:szCs w:val="44"/>
          <w:lang w:eastAsia="zh-CN"/>
        </w:rPr>
      </w:pPr>
    </w:p>
    <w:p w14:paraId="1889E5D7">
      <w:pPr>
        <w:keepNext w:val="0"/>
        <w:keepLines w:val="0"/>
        <w:pageBreakBefore w:val="0"/>
        <w:widowControl w:val="0"/>
        <w:kinsoku/>
        <w:wordWrap/>
        <w:overflowPunct/>
        <w:topLinePunct w:val="0"/>
        <w:autoSpaceDE/>
        <w:autoSpaceDN/>
        <w:bidi w:val="0"/>
        <w:adjustRightInd/>
        <w:snapToGrid/>
        <w:spacing w:before="625" w:beforeLines="200" w:after="469" w:afterLines="150" w:line="540" w:lineRule="exact"/>
        <w:jc w:val="center"/>
        <w:textAlignment w:val="auto"/>
        <w:outlineLvl w:val="9"/>
        <w:rPr>
          <w:rFonts w:hint="eastAsia" w:ascii="仿宋_GB2312" w:hAnsi="仿宋" w:eastAsia="仿宋_GB2312"/>
          <w:b w:val="0"/>
          <w:bCs/>
          <w:sz w:val="32"/>
          <w:szCs w:val="32"/>
        </w:rPr>
      </w:pPr>
      <w:r>
        <w:rPr>
          <w:rFonts w:hint="eastAsia" w:ascii="仿宋_GB2312" w:hAnsi="仿宋" w:eastAsia="仿宋_GB2312"/>
          <w:b w:val="0"/>
          <w:bCs/>
          <w:sz w:val="32"/>
          <w:szCs w:val="32"/>
        </w:rPr>
        <w:t>高政办〔</w:t>
      </w:r>
      <w:r>
        <w:rPr>
          <w:rFonts w:ascii="仿宋_GB2312" w:hAnsi="仿宋" w:eastAsia="仿宋_GB2312"/>
          <w:b w:val="0"/>
          <w:bCs/>
          <w:sz w:val="32"/>
          <w:szCs w:val="32"/>
        </w:rPr>
        <w:t>20</w:t>
      </w:r>
      <w:r>
        <w:rPr>
          <w:rFonts w:hint="eastAsia" w:ascii="仿宋_GB2312" w:hAnsi="仿宋" w:eastAsia="仿宋_GB2312"/>
          <w:b w:val="0"/>
          <w:bCs/>
          <w:sz w:val="32"/>
          <w:szCs w:val="32"/>
          <w:lang w:val="en-US" w:eastAsia="zh-CN"/>
        </w:rPr>
        <w:t>26</w:t>
      </w:r>
      <w:r>
        <w:rPr>
          <w:rFonts w:hint="eastAsia" w:ascii="仿宋_GB2312" w:hAnsi="仿宋" w:eastAsia="仿宋_GB2312"/>
          <w:b w:val="0"/>
          <w:bCs/>
          <w:sz w:val="32"/>
          <w:szCs w:val="32"/>
        </w:rPr>
        <w:t>〕</w:t>
      </w:r>
      <w:r>
        <w:rPr>
          <w:rFonts w:hint="eastAsia" w:ascii="仿宋_GB2312" w:hAnsi="仿宋" w:eastAsia="仿宋_GB2312"/>
          <w:b w:val="0"/>
          <w:bCs/>
          <w:sz w:val="32"/>
          <w:szCs w:val="32"/>
          <w:lang w:val="en-US" w:eastAsia="zh-CN"/>
        </w:rPr>
        <w:t>5</w:t>
      </w:r>
      <w:r>
        <w:rPr>
          <w:rFonts w:hint="eastAsia" w:ascii="仿宋_GB2312" w:hAnsi="仿宋" w:eastAsia="仿宋_GB2312"/>
          <w:b w:val="0"/>
          <w:bCs/>
          <w:sz w:val="32"/>
          <w:szCs w:val="32"/>
        </w:rPr>
        <w:t>号</w:t>
      </w:r>
    </w:p>
    <w:p w14:paraId="2EC8F5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eastAsia="方正小标宋简体"/>
          <w:sz w:val="44"/>
          <w:szCs w:val="44"/>
        </w:rPr>
      </w:pPr>
    </w:p>
    <w:p w14:paraId="7CAFD3AC">
      <w:pPr>
        <w:pStyle w:val="2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高阳县人民政府办公室</w:t>
      </w:r>
    </w:p>
    <w:p w14:paraId="3AD5994E">
      <w:pPr>
        <w:pStyle w:val="2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sz w:val="44"/>
          <w:szCs w:val="44"/>
          <w:lang w:val="en-US" w:eastAsia="zh-CN"/>
        </w:rPr>
      </w:pPr>
      <w:bookmarkStart w:id="0" w:name="_GoBack"/>
      <w:r>
        <w:rPr>
          <w:rFonts w:hint="eastAsia" w:ascii="方正小标宋简体" w:hAnsi="方正小标宋简体" w:eastAsia="方正小标宋简体" w:cs="方正小标宋简体"/>
          <w:color w:val="000000"/>
          <w:sz w:val="44"/>
          <w:szCs w:val="44"/>
          <w:lang w:val="en-US" w:eastAsia="zh-CN"/>
        </w:rPr>
        <w:t>关于印发</w:t>
      </w:r>
      <w:r>
        <w:rPr>
          <w:rFonts w:hint="eastAsia" w:ascii="方正小标宋简体" w:hAnsi="方正小标宋简体" w:eastAsia="方正小标宋简体" w:cs="方正小标宋简体"/>
          <w:b w:val="0"/>
          <w:bCs w:val="0"/>
          <w:spacing w:val="-2"/>
          <w:sz w:val="44"/>
          <w:szCs w:val="44"/>
          <w:lang w:val="en-US" w:eastAsia="zh-CN"/>
        </w:rPr>
        <w:t>《</w:t>
      </w:r>
      <w:r>
        <w:rPr>
          <w:rFonts w:hint="eastAsia" w:ascii="方正小标宋简体" w:hAnsi="方正小标宋简体" w:eastAsia="方正小标宋简体" w:cs="方正小标宋简体"/>
          <w:color w:val="auto"/>
          <w:sz w:val="44"/>
          <w:szCs w:val="44"/>
          <w:lang w:val="en-US" w:eastAsia="zh-CN"/>
        </w:rPr>
        <w:t>高阳县</w:t>
      </w:r>
      <w:r>
        <w:rPr>
          <w:rFonts w:hint="eastAsia" w:ascii="方正小标宋简体" w:hAnsi="方正小标宋简体" w:eastAsia="方正小标宋简体" w:cs="方正小标宋简体"/>
          <w:color w:val="auto"/>
          <w:sz w:val="44"/>
          <w:szCs w:val="44"/>
        </w:rPr>
        <w:t>文物保护三方共管长效机制</w:t>
      </w:r>
      <w:r>
        <w:rPr>
          <w:rFonts w:hint="eastAsia" w:ascii="方正小标宋简体" w:hAnsi="方正小标宋简体" w:eastAsia="方正小标宋简体" w:cs="方正小标宋简体"/>
          <w:b w:val="0"/>
          <w:bCs w:val="0"/>
          <w:spacing w:val="-2"/>
          <w:sz w:val="44"/>
          <w:szCs w:val="44"/>
          <w:lang w:val="en-US" w:eastAsia="zh-CN"/>
        </w:rPr>
        <w:t>》</w:t>
      </w:r>
      <w:r>
        <w:rPr>
          <w:rFonts w:hint="eastAsia" w:ascii="方正小标宋简体" w:hAnsi="方正小标宋简体" w:eastAsia="方正小标宋简体" w:cs="方正小标宋简体"/>
          <w:color w:val="000000"/>
          <w:sz w:val="44"/>
          <w:szCs w:val="44"/>
          <w:lang w:val="en-US" w:eastAsia="zh-CN"/>
        </w:rPr>
        <w:t>的通知</w:t>
      </w:r>
    </w:p>
    <w:bookmarkEnd w:id="0"/>
    <w:p w14:paraId="5AA5CF56">
      <w:pPr>
        <w:pStyle w:val="22"/>
        <w:keepNext w:val="0"/>
        <w:keepLines w:val="0"/>
        <w:pageBreakBefore w:val="0"/>
        <w:widowControl w:val="0"/>
        <w:kinsoku/>
        <w:wordWrap/>
        <w:overflowPunct w:val="0"/>
        <w:topLinePunct/>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p>
    <w:p w14:paraId="44E301D6">
      <w:pPr>
        <w:pStyle w:val="22"/>
        <w:keepNext w:val="0"/>
        <w:keepLines w:val="0"/>
        <w:pageBreakBefore w:val="0"/>
        <w:widowControl w:val="0"/>
        <w:kinsoku/>
        <w:wordWrap/>
        <w:overflowPunct w:val="0"/>
        <w:topLinePunct/>
        <w:autoSpaceDE/>
        <w:autoSpaceDN/>
        <w:bidi w:val="0"/>
        <w:adjustRightInd/>
        <w:snapToGrid/>
        <w:spacing w:line="560" w:lineRule="exact"/>
        <w:ind w:left="0" w:leftChars="0" w:right="0" w:rightChars="0" w:firstLine="0" w:firstLineChars="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各镇政府，锦华街道办事处，县直各相关部门：</w:t>
      </w:r>
    </w:p>
    <w:p w14:paraId="26F45AAF">
      <w:pPr>
        <w:pStyle w:val="22"/>
        <w:keepNext w:val="0"/>
        <w:keepLines w:val="0"/>
        <w:pageBreakBefore w:val="0"/>
        <w:widowControl w:val="0"/>
        <w:kinsoku/>
        <w:wordWrap/>
        <w:overflowPunct w:val="0"/>
        <w:topLinePunct/>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auto"/>
          <w:sz w:val="32"/>
          <w:szCs w:val="32"/>
          <w:lang w:val="en-US" w:eastAsia="zh-CN"/>
        </w:rPr>
        <w:t>高阳县文物保护三方共管长效机制</w:t>
      </w:r>
      <w:r>
        <w:rPr>
          <w:rFonts w:hint="eastAsia" w:ascii="仿宋_GB2312" w:hAnsi="仿宋_GB2312" w:eastAsia="仿宋_GB2312" w:cs="仿宋_GB2312"/>
          <w:color w:val="000000"/>
          <w:sz w:val="32"/>
          <w:szCs w:val="32"/>
          <w:lang w:val="en-US" w:eastAsia="zh-CN"/>
        </w:rPr>
        <w:t>》已经县人民政府同意，现印发你们，请结合工作实际，认真抓好贯彻落实。</w:t>
      </w:r>
    </w:p>
    <w:p w14:paraId="424EA285">
      <w:pPr>
        <w:pStyle w:val="22"/>
        <w:keepNext w:val="0"/>
        <w:keepLines w:val="0"/>
        <w:pageBreakBefore w:val="0"/>
        <w:widowControl w:val="0"/>
        <w:kinsoku/>
        <w:wordWrap/>
        <w:overflowPunct w:val="0"/>
        <w:topLinePunct/>
        <w:autoSpaceDE/>
        <w:autoSpaceDN/>
        <w:bidi w:val="0"/>
        <w:adjustRightInd/>
        <w:snapToGrid/>
        <w:spacing w:line="560" w:lineRule="exact"/>
        <w:ind w:left="0" w:leftChars="0" w:right="0" w:rightChars="0" w:firstLine="0" w:firstLineChars="0"/>
        <w:jc w:val="both"/>
        <w:textAlignment w:val="auto"/>
        <w:rPr>
          <w:rFonts w:hint="eastAsia" w:ascii="仿宋_GB2312" w:hAnsi="仿宋_GB2312" w:eastAsia="仿宋_GB2312" w:cs="仿宋_GB2312"/>
          <w:color w:val="000000"/>
          <w:sz w:val="32"/>
          <w:szCs w:val="32"/>
          <w:lang w:val="en-US" w:eastAsia="zh-CN"/>
        </w:rPr>
      </w:pPr>
    </w:p>
    <w:p w14:paraId="4C51C59E">
      <w:pPr>
        <w:pStyle w:val="22"/>
        <w:keepNext w:val="0"/>
        <w:keepLines w:val="0"/>
        <w:pageBreakBefore w:val="0"/>
        <w:widowControl w:val="0"/>
        <w:kinsoku/>
        <w:wordWrap/>
        <w:overflowPunct w:val="0"/>
        <w:topLinePunct/>
        <w:autoSpaceDE/>
        <w:autoSpaceDN/>
        <w:bidi w:val="0"/>
        <w:adjustRightInd/>
        <w:snapToGrid/>
        <w:spacing w:line="560" w:lineRule="exact"/>
        <w:ind w:left="0" w:leftChars="0" w:right="0" w:rightChars="0" w:firstLine="0" w:firstLineChars="0"/>
        <w:jc w:val="both"/>
        <w:textAlignment w:val="auto"/>
        <w:rPr>
          <w:rFonts w:hint="eastAsia" w:ascii="仿宋_GB2312" w:hAnsi="仿宋_GB2312" w:eastAsia="仿宋_GB2312" w:cs="仿宋_GB2312"/>
          <w:color w:val="000000"/>
          <w:sz w:val="32"/>
          <w:szCs w:val="32"/>
          <w:lang w:val="en-US" w:eastAsia="zh-CN"/>
        </w:rPr>
      </w:pPr>
    </w:p>
    <w:p w14:paraId="3DE9AA40">
      <w:pPr>
        <w:pStyle w:val="22"/>
        <w:keepNext w:val="0"/>
        <w:keepLines w:val="0"/>
        <w:pageBreakBefore w:val="0"/>
        <w:widowControl w:val="0"/>
        <w:kinsoku/>
        <w:wordWrap/>
        <w:overflowPunct w:val="0"/>
        <w:topLinePunct/>
        <w:autoSpaceDE/>
        <w:autoSpaceDN/>
        <w:bidi w:val="0"/>
        <w:adjustRightInd/>
        <w:snapToGrid/>
        <w:spacing w:line="560" w:lineRule="exact"/>
        <w:ind w:right="0" w:rightChars="0" w:firstLine="5440" w:firstLineChars="1700"/>
        <w:jc w:val="both"/>
        <w:textAlignment w:val="auto"/>
        <w:rPr>
          <w:rFonts w:hint="eastAsia" w:ascii="仿宋_GB2312" w:hAnsi="仿宋_GB2312" w:eastAsia="仿宋_GB2312" w:cs="仿宋_GB2312"/>
          <w:color w:val="000000"/>
          <w:sz w:val="32"/>
          <w:szCs w:val="32"/>
          <w:lang w:val="en-US" w:eastAsia="zh-CN"/>
        </w:rPr>
      </w:pPr>
    </w:p>
    <w:p w14:paraId="499801A9">
      <w:pPr>
        <w:pStyle w:val="22"/>
        <w:keepNext w:val="0"/>
        <w:keepLines w:val="0"/>
        <w:pageBreakBefore w:val="0"/>
        <w:widowControl w:val="0"/>
        <w:kinsoku/>
        <w:wordWrap/>
        <w:overflowPunct w:val="0"/>
        <w:topLinePunct/>
        <w:autoSpaceDE/>
        <w:autoSpaceDN/>
        <w:bidi w:val="0"/>
        <w:adjustRightInd/>
        <w:snapToGrid/>
        <w:spacing w:line="560" w:lineRule="exact"/>
        <w:ind w:right="0" w:rightChars="0" w:firstLine="5440" w:firstLineChars="17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2026年5月6日</w:t>
      </w:r>
    </w:p>
    <w:p w14:paraId="523575FB">
      <w:pPr>
        <w:sectPr>
          <w:footerReference r:id="rId3" w:type="default"/>
          <w:pgSz w:w="11906" w:h="16838"/>
          <w:pgMar w:top="1984" w:right="1417" w:bottom="1587" w:left="1417" w:header="851" w:footer="992" w:gutter="0"/>
          <w:pgNumType w:fmt="numberInDash"/>
          <w:cols w:space="0" w:num="1"/>
          <w:rtlGutter w:val="0"/>
          <w:docGrid w:type="lines" w:linePitch="312" w:charSpace="0"/>
        </w:sectPr>
      </w:pPr>
    </w:p>
    <w:p w14:paraId="656AA031">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textAlignment w:val="auto"/>
        <w:rPr>
          <w:rFonts w:hint="eastAsia" w:ascii="仿宋_GB2312" w:hAnsi="仿宋_GB2312" w:eastAsia="仿宋_GB2312" w:cs="仿宋_GB2312"/>
          <w:color w:val="auto"/>
          <w:sz w:val="32"/>
          <w:szCs w:val="32"/>
        </w:rPr>
      </w:pPr>
      <w:r>
        <w:rPr>
          <w:rFonts w:hint="eastAsia" w:ascii="方正小标宋简体" w:hAnsi="方正小标宋简体" w:eastAsia="方正小标宋简体" w:cs="方正小标宋简体"/>
          <w:color w:val="auto"/>
          <w:sz w:val="44"/>
          <w:szCs w:val="44"/>
          <w:lang w:val="en-US" w:eastAsia="zh-CN"/>
        </w:rPr>
        <w:t>高阳县</w:t>
      </w:r>
      <w:r>
        <w:rPr>
          <w:rFonts w:hint="eastAsia" w:ascii="方正小标宋简体" w:hAnsi="方正小标宋简体" w:eastAsia="方正小标宋简体" w:cs="方正小标宋简体"/>
          <w:color w:val="auto"/>
          <w:sz w:val="44"/>
          <w:szCs w:val="44"/>
        </w:rPr>
        <w:t>文物保护三方共管长效机制</w:t>
      </w:r>
    </w:p>
    <w:p w14:paraId="1D0290B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p>
    <w:p w14:paraId="51ABE01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为深入贯彻</w:t>
      </w:r>
      <w:r>
        <w:rPr>
          <w:rFonts w:hint="eastAsia" w:ascii="仿宋_GB2312" w:hAnsi="仿宋_GB2312" w:eastAsia="仿宋_GB2312" w:cs="仿宋_GB2312"/>
          <w:color w:val="auto"/>
          <w:sz w:val="32"/>
          <w:szCs w:val="32"/>
          <w:lang w:val="en-US" w:eastAsia="zh-CN"/>
        </w:rPr>
        <w:t>落实</w:t>
      </w:r>
      <w:r>
        <w:rPr>
          <w:rFonts w:hint="eastAsia" w:ascii="仿宋_GB2312" w:hAnsi="仿宋_GB2312" w:eastAsia="仿宋_GB2312" w:cs="仿宋_GB2312"/>
          <w:color w:val="auto"/>
          <w:sz w:val="32"/>
          <w:szCs w:val="32"/>
        </w:rPr>
        <w:t>《中华人民共和国文物保护法》，压实行业监管责任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属地管理责任与基层管护责任，构建</w:t>
      </w:r>
      <w:r>
        <w:rPr>
          <w:rFonts w:hint="eastAsia" w:ascii="仿宋_GB2312" w:hAnsi="仿宋_GB2312" w:eastAsia="仿宋_GB2312" w:cs="仿宋_GB2312"/>
          <w:color w:val="auto"/>
          <w:sz w:val="32"/>
          <w:szCs w:val="32"/>
          <w:lang w:val="en-US" w:eastAsia="zh-CN"/>
        </w:rPr>
        <w:t>县文化广电和旅游</w:t>
      </w:r>
      <w:r>
        <w:rPr>
          <w:rFonts w:hint="eastAsia" w:ascii="仿宋_GB2312" w:hAnsi="仿宋_GB2312" w:eastAsia="仿宋_GB2312" w:cs="仿宋_GB2312"/>
          <w:color w:val="auto"/>
          <w:sz w:val="32"/>
          <w:szCs w:val="32"/>
        </w:rPr>
        <w:t>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以下简称：文广旅局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统筹、镇街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主抓、村（社区）落实的三方共管格局，实现文物保护常态化、制度化、长效化</w:t>
      </w:r>
      <w:r>
        <w:rPr>
          <w:rFonts w:hint="eastAsia" w:ascii="仿宋_GB2312" w:hAnsi="仿宋_GB2312" w:eastAsia="仿宋_GB2312" w:cs="仿宋_GB2312"/>
          <w:color w:val="auto"/>
          <w:sz w:val="32"/>
          <w:szCs w:val="32"/>
          <w:lang w:val="en-US" w:eastAsia="zh-CN"/>
        </w:rPr>
        <w:t>目标</w:t>
      </w:r>
      <w:r>
        <w:rPr>
          <w:rFonts w:hint="eastAsia" w:ascii="仿宋_GB2312" w:hAnsi="仿宋_GB2312" w:eastAsia="仿宋_GB2312" w:cs="仿宋_GB2312"/>
          <w:color w:val="auto"/>
          <w:sz w:val="32"/>
          <w:szCs w:val="32"/>
        </w:rPr>
        <w:t>，特制定本机制。</w:t>
      </w:r>
    </w:p>
    <w:p w14:paraId="0839AAA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一、总体目标</w:t>
      </w:r>
    </w:p>
    <w:p w14:paraId="3EA3900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深入贯彻</w:t>
      </w:r>
      <w:r>
        <w:rPr>
          <w:rFonts w:hint="eastAsia" w:ascii="仿宋_GB2312" w:hAnsi="仿宋_GB2312" w:eastAsia="仿宋_GB2312" w:cs="仿宋_GB2312"/>
          <w:color w:val="auto"/>
          <w:sz w:val="32"/>
          <w:szCs w:val="32"/>
        </w:rPr>
        <w:t>“保护为主、抢救第一、合理利用、加强管理”</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rPr>
        <w:t>文物工作方针，明确三方权责边界，健全信息通报、责任落实、巡查监管、协同处置、考核问责全流程体系，杜绝文物损毁、流失、违规开发等行为，确保辖区内文物保护单位、</w:t>
      </w:r>
      <w:r>
        <w:rPr>
          <w:rFonts w:hint="eastAsia" w:ascii="仿宋_GB2312" w:hAnsi="仿宋_GB2312" w:eastAsia="仿宋_GB2312" w:cs="仿宋_GB2312"/>
          <w:color w:val="auto"/>
          <w:sz w:val="32"/>
          <w:szCs w:val="32"/>
          <w:lang w:val="en-US" w:eastAsia="zh-CN"/>
        </w:rPr>
        <w:t>未定级不可移动文物</w:t>
      </w:r>
      <w:r>
        <w:rPr>
          <w:rFonts w:hint="eastAsia" w:ascii="仿宋_GB2312" w:hAnsi="仿宋_GB2312" w:eastAsia="仿宋_GB2312" w:cs="仿宋_GB2312"/>
          <w:color w:val="auto"/>
          <w:sz w:val="32"/>
          <w:szCs w:val="32"/>
        </w:rPr>
        <w:t>本体安全、风貌完整，实现文物保护与经济社会发展协同推进。</w:t>
      </w:r>
    </w:p>
    <w:p w14:paraId="1A87FFF6">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权责划分</w:t>
      </w:r>
    </w:p>
    <w:p w14:paraId="6C29D18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（一）</w:t>
      </w:r>
      <w:r>
        <w:rPr>
          <w:rFonts w:hint="eastAsia" w:ascii="楷体" w:hAnsi="楷体" w:eastAsia="楷体" w:cs="楷体"/>
          <w:b/>
          <w:bCs/>
          <w:color w:val="auto"/>
          <w:sz w:val="32"/>
          <w:szCs w:val="32"/>
          <w:lang w:val="en-US" w:eastAsia="zh-CN"/>
        </w:rPr>
        <w:t>县文广旅</w:t>
      </w:r>
      <w:r>
        <w:rPr>
          <w:rFonts w:hint="eastAsia" w:ascii="楷体" w:hAnsi="楷体" w:eastAsia="楷体" w:cs="楷体"/>
          <w:b/>
          <w:bCs/>
          <w:color w:val="auto"/>
          <w:sz w:val="32"/>
          <w:szCs w:val="32"/>
        </w:rPr>
        <w:t>局</w:t>
      </w:r>
    </w:p>
    <w:p w14:paraId="134A937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1.牵头开展</w:t>
      </w:r>
      <w:r>
        <w:rPr>
          <w:rFonts w:hint="eastAsia" w:ascii="仿宋_GB2312" w:hAnsi="仿宋_GB2312" w:eastAsia="仿宋_GB2312" w:cs="仿宋_GB2312"/>
          <w:color w:val="auto"/>
          <w:sz w:val="32"/>
          <w:szCs w:val="32"/>
          <w:lang w:val="en-US" w:eastAsia="zh-CN"/>
        </w:rPr>
        <w:t>县域内</w:t>
      </w:r>
      <w:r>
        <w:rPr>
          <w:rFonts w:hint="eastAsia" w:ascii="仿宋_GB2312" w:hAnsi="仿宋_GB2312" w:eastAsia="仿宋_GB2312" w:cs="仿宋_GB2312"/>
          <w:color w:val="auto"/>
          <w:sz w:val="32"/>
          <w:szCs w:val="32"/>
        </w:rPr>
        <w:t>文物资源普查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调查</w:t>
      </w:r>
      <w:r>
        <w:rPr>
          <w:rFonts w:hint="eastAsia" w:ascii="仿宋_GB2312" w:hAnsi="仿宋_GB2312" w:eastAsia="仿宋_GB2312" w:cs="仿宋_GB2312"/>
          <w:color w:val="auto"/>
          <w:sz w:val="32"/>
          <w:szCs w:val="32"/>
        </w:rPr>
        <w:t>、认定、登记，建立动态更新的</w:t>
      </w:r>
      <w:r>
        <w:rPr>
          <w:rFonts w:hint="eastAsia" w:ascii="仿宋_GB2312" w:hAnsi="仿宋_GB2312" w:eastAsia="仿宋_GB2312" w:cs="仿宋_GB2312"/>
          <w:color w:val="auto"/>
          <w:sz w:val="32"/>
          <w:szCs w:val="32"/>
          <w:lang w:val="en-US" w:eastAsia="zh-CN"/>
        </w:rPr>
        <w:t>不可移动</w:t>
      </w:r>
      <w:r>
        <w:rPr>
          <w:rFonts w:hint="eastAsia" w:ascii="仿宋_GB2312" w:hAnsi="仿宋_GB2312" w:eastAsia="仿宋_GB2312" w:cs="仿宋_GB2312"/>
          <w:color w:val="auto"/>
          <w:sz w:val="32"/>
          <w:szCs w:val="32"/>
        </w:rPr>
        <w:t>文物保护名录，</w:t>
      </w:r>
      <w:r>
        <w:rPr>
          <w:rFonts w:hint="eastAsia" w:ascii="仿宋_GB2312" w:hAnsi="仿宋_GB2312" w:eastAsia="仿宋_GB2312" w:cs="仿宋_GB2312"/>
          <w:color w:val="auto"/>
          <w:sz w:val="32"/>
          <w:szCs w:val="32"/>
          <w:lang w:val="en-US" w:eastAsia="zh-CN"/>
        </w:rPr>
        <w:t>全面掌握文物资源及保护情况，</w:t>
      </w:r>
      <w:r>
        <w:rPr>
          <w:rFonts w:hint="eastAsia" w:ascii="仿宋_GB2312" w:hAnsi="仿宋_GB2312" w:eastAsia="仿宋_GB2312" w:cs="仿宋_GB2312"/>
          <w:color w:val="auto"/>
          <w:sz w:val="32"/>
          <w:szCs w:val="32"/>
        </w:rPr>
        <w:t>精准划定各文保单位、</w:t>
      </w:r>
      <w:r>
        <w:rPr>
          <w:rFonts w:hint="eastAsia" w:ascii="仿宋_GB2312" w:hAnsi="仿宋_GB2312" w:eastAsia="仿宋_GB2312" w:cs="仿宋_GB2312"/>
          <w:color w:val="auto"/>
          <w:sz w:val="32"/>
          <w:szCs w:val="32"/>
          <w:lang w:val="en-US" w:eastAsia="zh-CN"/>
        </w:rPr>
        <w:t>未定级不可移动文物</w:t>
      </w:r>
      <w:r>
        <w:rPr>
          <w:rFonts w:hint="eastAsia" w:ascii="仿宋_GB2312" w:hAnsi="仿宋_GB2312" w:eastAsia="仿宋_GB2312" w:cs="仿宋_GB2312"/>
          <w:color w:val="auto"/>
          <w:sz w:val="32"/>
          <w:szCs w:val="32"/>
        </w:rPr>
        <w:t>保护范围、建设控制地带，</w:t>
      </w:r>
      <w:r>
        <w:rPr>
          <w:rFonts w:hint="eastAsia" w:ascii="仿宋_GB2312" w:hAnsi="仿宋_GB2312" w:eastAsia="仿宋_GB2312" w:cs="仿宋_GB2312"/>
          <w:color w:val="auto"/>
          <w:sz w:val="32"/>
          <w:szCs w:val="32"/>
          <w:lang w:val="en-US" w:eastAsia="zh-CN"/>
        </w:rPr>
        <w:t>作出标志说明，建立记录</w:t>
      </w:r>
      <w:r>
        <w:rPr>
          <w:rFonts w:hint="eastAsia" w:ascii="仿宋_GB2312" w:hAnsi="仿宋_GB2312" w:eastAsia="仿宋_GB2312" w:cs="仿宋_GB2312"/>
          <w:color w:val="auto"/>
          <w:sz w:val="32"/>
          <w:szCs w:val="32"/>
        </w:rPr>
        <w:t>档案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明确管理责任人</w:t>
      </w:r>
      <w:r>
        <w:rPr>
          <w:rFonts w:hint="eastAsia" w:ascii="仿宋_GB2312" w:hAnsi="仿宋_GB2312" w:eastAsia="仿宋_GB2312" w:cs="仿宋_GB2312"/>
          <w:color w:val="auto"/>
          <w:sz w:val="32"/>
          <w:szCs w:val="32"/>
        </w:rPr>
        <w:t>。</w:t>
      </w:r>
    </w:p>
    <w:p w14:paraId="02D5F7A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2.编制《</w:t>
      </w:r>
      <w:r>
        <w:rPr>
          <w:rFonts w:hint="eastAsia" w:ascii="仿宋_GB2312" w:hAnsi="仿宋_GB2312" w:eastAsia="仿宋_GB2312" w:cs="仿宋_GB2312"/>
          <w:color w:val="auto"/>
          <w:sz w:val="32"/>
          <w:szCs w:val="32"/>
          <w:lang w:val="en-US" w:eastAsia="zh-CN"/>
        </w:rPr>
        <w:t>高阳县</w:t>
      </w:r>
      <w:r>
        <w:rPr>
          <w:rFonts w:hint="eastAsia" w:ascii="仿宋_GB2312" w:hAnsi="仿宋_GB2312" w:eastAsia="仿宋_GB2312" w:cs="仿宋_GB2312"/>
          <w:color w:val="auto"/>
          <w:sz w:val="32"/>
          <w:szCs w:val="32"/>
        </w:rPr>
        <w:t>文物保护告知书》，</w:t>
      </w:r>
      <w:r>
        <w:rPr>
          <w:rFonts w:hint="eastAsia" w:ascii="仿宋_GB2312" w:hAnsi="仿宋_GB2312" w:eastAsia="仿宋_GB2312" w:cs="仿宋_GB2312"/>
          <w:color w:val="auto"/>
          <w:sz w:val="32"/>
          <w:szCs w:val="32"/>
          <w:lang w:val="en-US" w:eastAsia="zh-CN"/>
        </w:rPr>
        <w:t>明确保护范围、保护义务和禁止性规定，</w:t>
      </w:r>
      <w:r>
        <w:rPr>
          <w:rFonts w:hint="eastAsia" w:ascii="仿宋_GB2312" w:hAnsi="仿宋_GB2312" w:eastAsia="仿宋_GB2312" w:cs="仿宋_GB2312"/>
          <w:color w:val="auto"/>
          <w:sz w:val="32"/>
          <w:szCs w:val="32"/>
        </w:rPr>
        <w:t>定期向各镇街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、村（社区）通报文物信息、政策要求、管护标准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并对三方共管工作落实情况进行常态化督查检查</w:t>
      </w:r>
      <w:r>
        <w:rPr>
          <w:rFonts w:hint="eastAsia" w:ascii="仿宋_GB2312" w:hAnsi="仿宋_GB2312" w:eastAsia="仿宋_GB2312" w:cs="仿宋_GB2312"/>
          <w:color w:val="auto"/>
          <w:sz w:val="32"/>
          <w:szCs w:val="32"/>
        </w:rPr>
        <w:t>。</w:t>
      </w:r>
    </w:p>
    <w:p w14:paraId="61082CD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3.负责文物保护专业指导，</w:t>
      </w:r>
      <w:r>
        <w:rPr>
          <w:rFonts w:hint="eastAsia" w:ascii="仿宋_GB2312" w:hAnsi="仿宋_GB2312" w:eastAsia="仿宋_GB2312" w:cs="仿宋_GB2312"/>
          <w:color w:val="auto"/>
          <w:sz w:val="32"/>
          <w:szCs w:val="32"/>
          <w:lang w:val="en-US" w:eastAsia="zh-CN"/>
        </w:rPr>
        <w:t>鼓励基层群众性自治组织、志愿者等参与不可移动文物保护工作。</w:t>
      </w:r>
      <w:r>
        <w:rPr>
          <w:rFonts w:hint="eastAsia" w:ascii="仿宋_GB2312" w:hAnsi="仿宋_GB2312" w:eastAsia="仿宋_GB2312" w:cs="仿宋_GB2312"/>
          <w:color w:val="auto"/>
          <w:sz w:val="32"/>
          <w:szCs w:val="32"/>
        </w:rPr>
        <w:t>开展文物保护政策宣讲、业务培训。</w:t>
      </w:r>
    </w:p>
    <w:p w14:paraId="22DD762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val="en-US" w:eastAsia="zh-CN"/>
        </w:rPr>
        <w:t>公开投诉、举报方式等信息，及时受理</w:t>
      </w:r>
      <w:r>
        <w:rPr>
          <w:rFonts w:hint="eastAsia" w:ascii="仿宋_GB2312" w:hAnsi="仿宋_GB2312" w:eastAsia="仿宋_GB2312" w:cs="仿宋_GB2312"/>
          <w:color w:val="auto"/>
          <w:sz w:val="32"/>
          <w:szCs w:val="32"/>
        </w:rPr>
        <w:t>文物违法违规行为</w:t>
      </w:r>
      <w:r>
        <w:rPr>
          <w:rFonts w:hint="eastAsia" w:ascii="仿宋_GB2312" w:hAnsi="仿宋_GB2312" w:eastAsia="仿宋_GB2312" w:cs="仿宋_GB2312"/>
          <w:color w:val="auto"/>
          <w:sz w:val="32"/>
          <w:szCs w:val="32"/>
          <w:lang w:val="en-US" w:eastAsia="zh-CN"/>
        </w:rPr>
        <w:t>投诉、</w:t>
      </w:r>
      <w:r>
        <w:rPr>
          <w:rFonts w:hint="eastAsia" w:ascii="仿宋_GB2312" w:hAnsi="仿宋_GB2312" w:eastAsia="仿宋_GB2312" w:cs="仿宋_GB2312"/>
          <w:color w:val="auto"/>
          <w:sz w:val="32"/>
          <w:szCs w:val="32"/>
        </w:rPr>
        <w:t>举报，依法</w:t>
      </w:r>
      <w:r>
        <w:rPr>
          <w:rFonts w:hint="eastAsia" w:ascii="仿宋_GB2312" w:hAnsi="仿宋_GB2312" w:eastAsia="仿宋_GB2312" w:cs="仿宋_GB2312"/>
          <w:color w:val="auto"/>
          <w:sz w:val="32"/>
          <w:szCs w:val="32"/>
          <w:lang w:val="en-US" w:eastAsia="zh-CN"/>
        </w:rPr>
        <w:t>依规</w:t>
      </w:r>
      <w:r>
        <w:rPr>
          <w:rFonts w:hint="eastAsia" w:ascii="仿宋_GB2312" w:hAnsi="仿宋_GB2312" w:eastAsia="仿宋_GB2312" w:cs="仿宋_GB2312"/>
          <w:color w:val="auto"/>
          <w:sz w:val="32"/>
          <w:szCs w:val="32"/>
        </w:rPr>
        <w:t>查处破坏文物、违规建设等违法行为。</w:t>
      </w:r>
    </w:p>
    <w:p w14:paraId="1371620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牵头协调解决文物保护中的跨区域、跨部门难题，推动文物保护与城乡规划、土地利用、项目建设有效衔接。</w:t>
      </w:r>
    </w:p>
    <w:p w14:paraId="6D43161B">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（二）镇街</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部门</w:t>
      </w:r>
      <w:r>
        <w:rPr>
          <w:rFonts w:hint="eastAsia" w:ascii="楷体" w:hAnsi="楷体" w:eastAsia="楷体" w:cs="楷体"/>
          <w:b/>
          <w:bCs/>
          <w:color w:val="auto"/>
          <w:sz w:val="32"/>
          <w:szCs w:val="32"/>
          <w:lang w:eastAsia="zh-CN"/>
        </w:rPr>
        <w:t>）</w:t>
      </w:r>
    </w:p>
    <w:p w14:paraId="5F803D1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1.履行文物保护属地管理主体责任，签收《</w:t>
      </w:r>
      <w:r>
        <w:rPr>
          <w:rFonts w:hint="eastAsia" w:ascii="仿宋_GB2312" w:hAnsi="仿宋_GB2312" w:eastAsia="仿宋_GB2312" w:cs="仿宋_GB2312"/>
          <w:color w:val="auto"/>
          <w:sz w:val="32"/>
          <w:szCs w:val="32"/>
          <w:lang w:val="en-US" w:eastAsia="zh-CN"/>
        </w:rPr>
        <w:t>高阳县</w:t>
      </w:r>
      <w:r>
        <w:rPr>
          <w:rFonts w:hint="eastAsia" w:ascii="仿宋_GB2312" w:hAnsi="仿宋_GB2312" w:eastAsia="仿宋_GB2312" w:cs="仿宋_GB2312"/>
          <w:color w:val="auto"/>
          <w:sz w:val="32"/>
          <w:szCs w:val="32"/>
        </w:rPr>
        <w:t>文物保护告知书》，第一时间传达落实文物保护政策、名录信息及管护要求，统筹</w:t>
      </w:r>
      <w:r>
        <w:rPr>
          <w:rFonts w:hint="eastAsia" w:ascii="仿宋_GB2312" w:hAnsi="仿宋_GB2312" w:eastAsia="仿宋_GB2312" w:cs="仿宋_GB2312"/>
          <w:color w:val="auto"/>
          <w:sz w:val="32"/>
          <w:szCs w:val="32"/>
          <w:lang w:val="en-US" w:eastAsia="zh-CN"/>
        </w:rPr>
        <w:t>属地（</w:t>
      </w:r>
      <w:r>
        <w:rPr>
          <w:rFonts w:hint="eastAsia" w:ascii="仿宋_GB2312" w:hAnsi="仿宋_GB2312" w:eastAsia="仿宋_GB2312" w:cs="仿宋_GB2312"/>
          <w:color w:val="auto"/>
          <w:sz w:val="32"/>
          <w:szCs w:val="32"/>
        </w:rPr>
        <w:t>辖区</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内文物保护工作部署。</w:t>
      </w:r>
    </w:p>
    <w:p w14:paraId="7746AE4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2.建立镇街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文物管护专班，明确分管领导、责任</w:t>
      </w:r>
      <w:r>
        <w:rPr>
          <w:rFonts w:hint="eastAsia" w:ascii="仿宋_GB2312" w:hAnsi="仿宋_GB2312" w:eastAsia="仿宋_GB2312" w:cs="仿宋_GB2312"/>
          <w:color w:val="auto"/>
          <w:sz w:val="32"/>
          <w:szCs w:val="32"/>
          <w:lang w:val="en-US" w:eastAsia="zh-CN"/>
        </w:rPr>
        <w:t>股</w:t>
      </w:r>
      <w:r>
        <w:rPr>
          <w:rFonts w:hint="eastAsia" w:ascii="仿宋_GB2312" w:hAnsi="仿宋_GB2312" w:eastAsia="仿宋_GB2312" w:cs="仿宋_GB2312"/>
          <w:color w:val="auto"/>
          <w:sz w:val="32"/>
          <w:szCs w:val="32"/>
        </w:rPr>
        <w:t>室及</w:t>
      </w:r>
      <w:r>
        <w:rPr>
          <w:rFonts w:hint="eastAsia" w:ascii="仿宋_GB2312" w:hAnsi="仿宋_GB2312" w:eastAsia="仿宋_GB2312" w:cs="仿宋_GB2312"/>
          <w:color w:val="auto"/>
          <w:sz w:val="32"/>
          <w:szCs w:val="32"/>
          <w:lang w:val="en-US" w:eastAsia="zh-CN"/>
        </w:rPr>
        <w:t>责任人</w:t>
      </w:r>
      <w:r>
        <w:rPr>
          <w:rFonts w:hint="eastAsia" w:ascii="仿宋_GB2312" w:hAnsi="仿宋_GB2312" w:eastAsia="仿宋_GB2312" w:cs="仿宋_GB2312"/>
          <w:color w:val="auto"/>
          <w:sz w:val="32"/>
          <w:szCs w:val="32"/>
        </w:rPr>
        <w:t>，统筹组织村（社区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下属单位</w:t>
      </w:r>
      <w:r>
        <w:rPr>
          <w:rFonts w:hint="eastAsia" w:ascii="仿宋_GB2312" w:hAnsi="仿宋_GB2312" w:eastAsia="仿宋_GB2312" w:cs="仿宋_GB2312"/>
          <w:color w:val="auto"/>
          <w:sz w:val="32"/>
          <w:szCs w:val="32"/>
        </w:rPr>
        <w:t>）开展文物日常管护、巡查宣传工作。</w:t>
      </w:r>
    </w:p>
    <w:p w14:paraId="189F4A0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3.配合</w:t>
      </w:r>
      <w:r>
        <w:rPr>
          <w:rFonts w:hint="eastAsia" w:ascii="仿宋_GB2312" w:hAnsi="仿宋_GB2312" w:eastAsia="仿宋_GB2312" w:cs="仿宋_GB2312"/>
          <w:color w:val="auto"/>
          <w:sz w:val="32"/>
          <w:szCs w:val="32"/>
          <w:lang w:val="en-US" w:eastAsia="zh-CN"/>
        </w:rPr>
        <w:t>县文广旅</w:t>
      </w:r>
      <w:r>
        <w:rPr>
          <w:rFonts w:hint="eastAsia" w:ascii="仿宋_GB2312" w:hAnsi="仿宋_GB2312" w:eastAsia="仿宋_GB2312" w:cs="仿宋_GB2312"/>
          <w:color w:val="auto"/>
          <w:sz w:val="32"/>
          <w:szCs w:val="32"/>
        </w:rPr>
        <w:t>局开展文物普查</w:t>
      </w:r>
      <w:r>
        <w:rPr>
          <w:rFonts w:hint="eastAsia" w:ascii="仿宋_GB2312" w:hAnsi="仿宋_GB2312" w:eastAsia="仿宋_GB2312" w:cs="仿宋_GB2312"/>
          <w:color w:val="auto"/>
          <w:sz w:val="32"/>
          <w:szCs w:val="32"/>
          <w:lang w:val="en-US" w:eastAsia="zh-CN"/>
        </w:rPr>
        <w:t>调查、</w:t>
      </w:r>
      <w:r>
        <w:rPr>
          <w:rFonts w:hint="eastAsia" w:ascii="仿宋_GB2312" w:hAnsi="仿宋_GB2312" w:eastAsia="仿宋_GB2312" w:cs="仿宋_GB2312"/>
          <w:color w:val="auto"/>
          <w:sz w:val="32"/>
          <w:szCs w:val="32"/>
        </w:rPr>
        <w:t>档案更新、修缮</w:t>
      </w:r>
      <w:r>
        <w:rPr>
          <w:rFonts w:hint="eastAsia" w:ascii="仿宋_GB2312" w:hAnsi="仿宋_GB2312" w:eastAsia="仿宋_GB2312" w:cs="仿宋_GB2312"/>
          <w:color w:val="auto"/>
          <w:sz w:val="32"/>
          <w:szCs w:val="32"/>
          <w:lang w:val="en-US" w:eastAsia="zh-CN"/>
        </w:rPr>
        <w:t>维护</w:t>
      </w:r>
      <w:r>
        <w:rPr>
          <w:rFonts w:hint="eastAsia" w:ascii="仿宋_GB2312" w:hAnsi="仿宋_GB2312" w:eastAsia="仿宋_GB2312" w:cs="仿宋_GB2312"/>
          <w:color w:val="auto"/>
          <w:sz w:val="32"/>
          <w:szCs w:val="32"/>
        </w:rPr>
        <w:t>、安全排查等工作，对</w:t>
      </w:r>
      <w:r>
        <w:rPr>
          <w:rFonts w:hint="eastAsia" w:ascii="仿宋_GB2312" w:hAnsi="仿宋_GB2312" w:eastAsia="仿宋_GB2312" w:cs="仿宋_GB2312"/>
          <w:color w:val="auto"/>
          <w:sz w:val="32"/>
          <w:szCs w:val="32"/>
          <w:lang w:val="en-US" w:eastAsia="zh-CN"/>
        </w:rPr>
        <w:t>属地（</w:t>
      </w:r>
      <w:r>
        <w:rPr>
          <w:rFonts w:hint="eastAsia" w:ascii="仿宋_GB2312" w:hAnsi="仿宋_GB2312" w:eastAsia="仿宋_GB2312" w:cs="仿宋_GB2312"/>
          <w:color w:val="auto"/>
          <w:sz w:val="32"/>
          <w:szCs w:val="32"/>
        </w:rPr>
        <w:t>辖区</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内文物保护范围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建设控制地带</w:t>
      </w:r>
      <w:r>
        <w:rPr>
          <w:rFonts w:hint="eastAsia" w:ascii="仿宋_GB2312" w:hAnsi="仿宋_GB2312" w:eastAsia="仿宋_GB2312" w:cs="仿宋_GB2312"/>
          <w:color w:val="auto"/>
          <w:sz w:val="32"/>
          <w:szCs w:val="32"/>
        </w:rPr>
        <w:t>内的建设活动、生产行为进行前置审核，杜绝违规施工、侵占破坏等</w:t>
      </w:r>
      <w:r>
        <w:rPr>
          <w:rFonts w:hint="eastAsia" w:ascii="仿宋_GB2312" w:hAnsi="仿宋_GB2312" w:eastAsia="仿宋_GB2312" w:cs="仿宋_GB2312"/>
          <w:color w:val="auto"/>
          <w:sz w:val="32"/>
          <w:szCs w:val="32"/>
          <w:lang w:val="en-US" w:eastAsia="zh-CN"/>
        </w:rPr>
        <w:t>违法</w:t>
      </w:r>
      <w:r>
        <w:rPr>
          <w:rFonts w:hint="eastAsia" w:ascii="仿宋_GB2312" w:hAnsi="仿宋_GB2312" w:eastAsia="仿宋_GB2312" w:cs="仿宋_GB2312"/>
          <w:color w:val="auto"/>
          <w:sz w:val="32"/>
          <w:szCs w:val="32"/>
        </w:rPr>
        <w:t>行为。</w:t>
      </w:r>
    </w:p>
    <w:p w14:paraId="69FAF80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4.及时处置</w:t>
      </w:r>
      <w:r>
        <w:rPr>
          <w:rFonts w:hint="eastAsia" w:ascii="仿宋_GB2312" w:hAnsi="仿宋_GB2312" w:eastAsia="仿宋_GB2312" w:cs="仿宋_GB2312"/>
          <w:color w:val="auto"/>
          <w:sz w:val="32"/>
          <w:szCs w:val="32"/>
          <w:lang w:val="en-US" w:eastAsia="zh-CN"/>
        </w:rPr>
        <w:t>属地（</w:t>
      </w:r>
      <w:r>
        <w:rPr>
          <w:rFonts w:hint="eastAsia" w:ascii="仿宋_GB2312" w:hAnsi="仿宋_GB2312" w:eastAsia="仿宋_GB2312" w:cs="仿宋_GB2312"/>
          <w:color w:val="auto"/>
          <w:sz w:val="32"/>
          <w:szCs w:val="32"/>
        </w:rPr>
        <w:t>辖区</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内文物安全隐患</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发现文物违法行为或</w:t>
      </w:r>
      <w:r>
        <w:rPr>
          <w:rFonts w:hint="eastAsia" w:ascii="仿宋_GB2312" w:hAnsi="仿宋_GB2312" w:eastAsia="仿宋_GB2312" w:cs="仿宋_GB2312"/>
          <w:color w:val="auto"/>
          <w:sz w:val="32"/>
          <w:szCs w:val="32"/>
        </w:rPr>
        <w:t>突发险情</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第一时间上报</w:t>
      </w:r>
      <w:r>
        <w:rPr>
          <w:rFonts w:hint="eastAsia" w:ascii="仿宋_GB2312" w:hAnsi="仿宋_GB2312" w:eastAsia="仿宋_GB2312" w:cs="仿宋_GB2312"/>
          <w:color w:val="auto"/>
          <w:sz w:val="32"/>
          <w:szCs w:val="32"/>
          <w:lang w:val="en-US" w:eastAsia="zh-CN"/>
        </w:rPr>
        <w:t>县文广旅局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协助开展文物抢救、保护及违法线索核查。</w:t>
      </w:r>
    </w:p>
    <w:p w14:paraId="4A424F7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5.督促村（社区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下属单位</w:t>
      </w:r>
      <w:r>
        <w:rPr>
          <w:rFonts w:hint="eastAsia" w:ascii="仿宋_GB2312" w:hAnsi="仿宋_GB2312" w:eastAsia="仿宋_GB2312" w:cs="仿宋_GB2312"/>
          <w:color w:val="auto"/>
          <w:sz w:val="32"/>
          <w:szCs w:val="32"/>
        </w:rPr>
        <w:t>）落实管护责任。</w:t>
      </w:r>
    </w:p>
    <w:p w14:paraId="00E1BA21">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（三）村（社区</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下属单位</w:t>
      </w:r>
      <w:r>
        <w:rPr>
          <w:rFonts w:hint="eastAsia" w:ascii="楷体" w:hAnsi="楷体" w:eastAsia="楷体" w:cs="楷体"/>
          <w:b/>
          <w:bCs/>
          <w:color w:val="auto"/>
          <w:sz w:val="32"/>
          <w:szCs w:val="32"/>
        </w:rPr>
        <w:t>）</w:t>
      </w:r>
    </w:p>
    <w:p w14:paraId="6F40077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1.签收《</w:t>
      </w:r>
      <w:r>
        <w:rPr>
          <w:rFonts w:hint="eastAsia" w:ascii="仿宋_GB2312" w:hAnsi="仿宋_GB2312" w:eastAsia="仿宋_GB2312" w:cs="仿宋_GB2312"/>
          <w:color w:val="auto"/>
          <w:sz w:val="32"/>
          <w:szCs w:val="32"/>
          <w:lang w:val="en-US" w:eastAsia="zh-CN"/>
        </w:rPr>
        <w:t>高阳县</w:t>
      </w:r>
      <w:r>
        <w:rPr>
          <w:rFonts w:hint="eastAsia" w:ascii="仿宋_GB2312" w:hAnsi="仿宋_GB2312" w:eastAsia="仿宋_GB2312" w:cs="仿宋_GB2312"/>
          <w:color w:val="auto"/>
          <w:sz w:val="32"/>
          <w:szCs w:val="32"/>
        </w:rPr>
        <w:t>文物保护告知书》，精准掌握辖区内文保单位、</w:t>
      </w:r>
      <w:r>
        <w:rPr>
          <w:rFonts w:hint="eastAsia" w:ascii="仿宋_GB2312" w:hAnsi="仿宋_GB2312" w:eastAsia="仿宋_GB2312" w:cs="仿宋_GB2312"/>
          <w:color w:val="auto"/>
          <w:sz w:val="32"/>
          <w:szCs w:val="32"/>
          <w:lang w:val="en-US" w:eastAsia="zh-CN"/>
        </w:rPr>
        <w:t>未定级不可移动文物</w:t>
      </w:r>
      <w:r>
        <w:rPr>
          <w:rFonts w:hint="eastAsia" w:ascii="仿宋_GB2312" w:hAnsi="仿宋_GB2312" w:eastAsia="仿宋_GB2312" w:cs="仿宋_GB2312"/>
          <w:color w:val="auto"/>
          <w:sz w:val="32"/>
          <w:szCs w:val="32"/>
        </w:rPr>
        <w:t>具体位置、保护范围、保护要求，指定文物管护网格员或专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兼</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职管护员</w:t>
      </w:r>
      <w:r>
        <w:rPr>
          <w:rFonts w:hint="eastAsia" w:ascii="仿宋_GB2312" w:hAnsi="仿宋_GB2312" w:eastAsia="仿宋_GB2312" w:cs="仿宋_GB2312"/>
          <w:color w:val="auto"/>
          <w:sz w:val="32"/>
          <w:szCs w:val="32"/>
          <w:lang w:val="en-US" w:eastAsia="zh-CN"/>
        </w:rPr>
        <w:t>负责文物保护工作</w:t>
      </w:r>
      <w:r>
        <w:rPr>
          <w:rFonts w:hint="eastAsia" w:ascii="仿宋_GB2312" w:hAnsi="仿宋_GB2312" w:eastAsia="仿宋_GB2312" w:cs="仿宋_GB2312"/>
          <w:color w:val="auto"/>
          <w:sz w:val="32"/>
          <w:szCs w:val="32"/>
        </w:rPr>
        <w:t>。</w:t>
      </w:r>
    </w:p>
    <w:p w14:paraId="0AB1BAA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加强</w:t>
      </w:r>
      <w:r>
        <w:rPr>
          <w:rFonts w:hint="eastAsia" w:ascii="仿宋_GB2312" w:hAnsi="仿宋_GB2312" w:eastAsia="仿宋_GB2312" w:cs="仿宋_GB2312"/>
          <w:color w:val="auto"/>
          <w:sz w:val="32"/>
          <w:szCs w:val="32"/>
        </w:rPr>
        <w:t>文物日常巡查、值守，重点排查文物本体损毁、违规搭建、盗掘、环境污染、自然损坏等问题，做好巡查记录，发现隐患立即上报镇街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及</w:t>
      </w:r>
      <w:r>
        <w:rPr>
          <w:rFonts w:hint="eastAsia" w:ascii="仿宋_GB2312" w:hAnsi="仿宋_GB2312" w:eastAsia="仿宋_GB2312" w:cs="仿宋_GB2312"/>
          <w:color w:val="auto"/>
          <w:sz w:val="32"/>
          <w:szCs w:val="32"/>
          <w:lang w:val="en-US" w:eastAsia="zh-CN"/>
        </w:rPr>
        <w:t>县文广旅</w:t>
      </w:r>
      <w:r>
        <w:rPr>
          <w:rFonts w:hint="eastAsia" w:ascii="仿宋_GB2312" w:hAnsi="仿宋_GB2312" w:eastAsia="仿宋_GB2312" w:cs="仿宋_GB2312"/>
          <w:color w:val="auto"/>
          <w:sz w:val="32"/>
          <w:szCs w:val="32"/>
        </w:rPr>
        <w:t>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0312-6699865</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14:paraId="7F1FA68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3.面向辖区群众</w:t>
      </w:r>
      <w:r>
        <w:rPr>
          <w:rFonts w:hint="eastAsia" w:ascii="仿宋_GB2312" w:hAnsi="仿宋_GB2312" w:eastAsia="仿宋_GB2312" w:cs="仿宋_GB2312"/>
          <w:color w:val="auto"/>
          <w:sz w:val="32"/>
          <w:szCs w:val="32"/>
          <w:lang w:val="en-US" w:eastAsia="zh-CN"/>
        </w:rPr>
        <w:t>常态化</w:t>
      </w:r>
      <w:r>
        <w:rPr>
          <w:rFonts w:hint="eastAsia" w:ascii="仿宋_GB2312" w:hAnsi="仿宋_GB2312" w:eastAsia="仿宋_GB2312" w:cs="仿宋_GB2312"/>
          <w:color w:val="auto"/>
          <w:sz w:val="32"/>
          <w:szCs w:val="32"/>
        </w:rPr>
        <w:t>开展文物保护宣传教育，普及文物保护法律法规，引导群众自觉</w:t>
      </w:r>
      <w:r>
        <w:rPr>
          <w:rFonts w:hint="eastAsia" w:ascii="仿宋_GB2312" w:hAnsi="仿宋_GB2312" w:eastAsia="仿宋_GB2312" w:cs="仿宋_GB2312"/>
          <w:color w:val="auto"/>
          <w:sz w:val="32"/>
          <w:szCs w:val="32"/>
          <w:lang w:val="en-US" w:eastAsia="zh-CN"/>
        </w:rPr>
        <w:t>爱护</w:t>
      </w:r>
      <w:r>
        <w:rPr>
          <w:rFonts w:hint="eastAsia" w:ascii="仿宋_GB2312" w:hAnsi="仿宋_GB2312" w:eastAsia="仿宋_GB2312" w:cs="仿宋_GB2312"/>
          <w:color w:val="auto"/>
          <w:sz w:val="32"/>
          <w:szCs w:val="32"/>
        </w:rPr>
        <w:t>守护文物，</w:t>
      </w:r>
      <w:r>
        <w:rPr>
          <w:rFonts w:hint="eastAsia" w:ascii="仿宋_GB2312" w:hAnsi="仿宋_GB2312" w:eastAsia="仿宋_GB2312" w:cs="仿宋_GB2312"/>
          <w:color w:val="auto"/>
          <w:sz w:val="32"/>
          <w:szCs w:val="32"/>
          <w:lang w:val="en-US" w:eastAsia="zh-CN"/>
        </w:rPr>
        <w:t>增强全民文物保护的意识</w:t>
      </w:r>
      <w:r>
        <w:rPr>
          <w:rFonts w:hint="eastAsia" w:ascii="仿宋_GB2312" w:hAnsi="仿宋_GB2312" w:eastAsia="仿宋_GB2312" w:cs="仿宋_GB2312"/>
          <w:color w:val="auto"/>
          <w:sz w:val="32"/>
          <w:szCs w:val="32"/>
        </w:rPr>
        <w:t>。</w:t>
      </w:r>
    </w:p>
    <w:p w14:paraId="66FB608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4.协助做好文物保护范围标识设置、环境整治、简易防护等基础工作。</w:t>
      </w:r>
    </w:p>
    <w:p w14:paraId="7728A99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5.收集群众关于文物保护的意见建议，及时反馈至镇街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和县文广旅局</w:t>
      </w:r>
      <w:r>
        <w:rPr>
          <w:rFonts w:hint="eastAsia" w:ascii="仿宋_GB2312" w:hAnsi="仿宋_GB2312" w:eastAsia="仿宋_GB2312" w:cs="仿宋_GB2312"/>
          <w:color w:val="auto"/>
          <w:sz w:val="32"/>
          <w:szCs w:val="32"/>
        </w:rPr>
        <w:t>，筑牢基层文物保护第一道防线。</w:t>
      </w:r>
    </w:p>
    <w:p w14:paraId="3FD50E0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三、运行机制</w:t>
      </w:r>
    </w:p>
    <w:p w14:paraId="4A08AE39">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（一）信息通报机制</w:t>
      </w:r>
    </w:p>
    <w:p w14:paraId="254F765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县文广旅</w:t>
      </w:r>
      <w:r>
        <w:rPr>
          <w:rFonts w:hint="eastAsia" w:ascii="仿宋_GB2312" w:hAnsi="仿宋_GB2312" w:eastAsia="仿宋_GB2312" w:cs="仿宋_GB2312"/>
          <w:color w:val="auto"/>
          <w:sz w:val="32"/>
          <w:szCs w:val="32"/>
        </w:rPr>
        <w:t>局</w:t>
      </w:r>
      <w:r>
        <w:rPr>
          <w:rFonts w:hint="eastAsia" w:ascii="仿宋_GB2312" w:hAnsi="仿宋_GB2312" w:eastAsia="仿宋_GB2312" w:cs="仿宋_GB2312"/>
          <w:color w:val="auto"/>
          <w:sz w:val="32"/>
          <w:szCs w:val="32"/>
          <w:lang w:val="en-US" w:eastAsia="zh-CN"/>
        </w:rPr>
        <w:t>及时</w:t>
      </w:r>
      <w:r>
        <w:rPr>
          <w:rFonts w:hint="eastAsia" w:ascii="仿宋_GB2312" w:hAnsi="仿宋_GB2312" w:eastAsia="仿宋_GB2312" w:cs="仿宋_GB2312"/>
          <w:color w:val="auto"/>
          <w:sz w:val="32"/>
          <w:szCs w:val="32"/>
        </w:rPr>
        <w:t>更新文物保护名录、保护范围及政策要求，</w:t>
      </w:r>
      <w:r>
        <w:rPr>
          <w:rFonts w:hint="eastAsia" w:ascii="仿宋_GB2312" w:hAnsi="仿宋_GB2312" w:eastAsia="仿宋_GB2312" w:cs="仿宋_GB2312"/>
          <w:color w:val="auto"/>
          <w:sz w:val="32"/>
          <w:szCs w:val="32"/>
          <w:lang w:val="en-US" w:eastAsia="zh-CN"/>
        </w:rPr>
        <w:t>送达</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高阳县</w:t>
      </w:r>
      <w:r>
        <w:rPr>
          <w:rFonts w:hint="eastAsia" w:ascii="仿宋_GB2312" w:hAnsi="仿宋_GB2312" w:eastAsia="仿宋_GB2312" w:cs="仿宋_GB2312"/>
          <w:color w:val="auto"/>
          <w:sz w:val="32"/>
          <w:szCs w:val="32"/>
        </w:rPr>
        <w:t>文物保护告知书》。</w:t>
      </w:r>
    </w:p>
    <w:p w14:paraId="33D917B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2.各镇街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主要领导签收后，3个工作日内完成村（社区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下属单位</w:t>
      </w:r>
      <w:r>
        <w:rPr>
          <w:rFonts w:hint="eastAsia" w:ascii="仿宋_GB2312" w:hAnsi="仿宋_GB2312" w:eastAsia="仿宋_GB2312" w:cs="仿宋_GB2312"/>
          <w:color w:val="auto"/>
          <w:sz w:val="32"/>
          <w:szCs w:val="32"/>
        </w:rPr>
        <w:t>）传达部署，由村（社区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下属单位</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主要</w:t>
      </w:r>
      <w:r>
        <w:rPr>
          <w:rFonts w:hint="eastAsia" w:ascii="仿宋_GB2312" w:hAnsi="仿宋_GB2312" w:eastAsia="仿宋_GB2312" w:cs="仿宋_GB2312"/>
          <w:color w:val="auto"/>
          <w:sz w:val="32"/>
          <w:szCs w:val="32"/>
        </w:rPr>
        <w:t>负责人签字确认，形成“</w:t>
      </w:r>
      <w:r>
        <w:rPr>
          <w:rFonts w:hint="eastAsia" w:ascii="仿宋_GB2312" w:hAnsi="仿宋_GB2312" w:eastAsia="仿宋_GB2312" w:cs="仿宋_GB2312"/>
          <w:color w:val="auto"/>
          <w:sz w:val="32"/>
          <w:szCs w:val="32"/>
          <w:lang w:val="en-US" w:eastAsia="zh-CN"/>
        </w:rPr>
        <w:t>文广旅</w:t>
      </w:r>
      <w:r>
        <w:rPr>
          <w:rFonts w:hint="eastAsia" w:ascii="仿宋_GB2312" w:hAnsi="仿宋_GB2312" w:eastAsia="仿宋_GB2312" w:cs="仿宋_GB2312"/>
          <w:color w:val="auto"/>
          <w:sz w:val="32"/>
          <w:szCs w:val="32"/>
        </w:rPr>
        <w:t>局-镇</w:t>
      </w:r>
      <w:r>
        <w:rPr>
          <w:rFonts w:hint="eastAsia" w:ascii="仿宋_GB2312" w:hAnsi="仿宋_GB2312" w:eastAsia="仿宋_GB2312" w:cs="仿宋_GB2312"/>
          <w:color w:val="auto"/>
          <w:sz w:val="32"/>
          <w:szCs w:val="32"/>
          <w:lang w:val="en-US" w:eastAsia="zh-CN"/>
        </w:rPr>
        <w:t>街（部门）</w:t>
      </w:r>
      <w:r>
        <w:rPr>
          <w:rFonts w:hint="eastAsia" w:ascii="仿宋_GB2312" w:hAnsi="仿宋_GB2312" w:eastAsia="仿宋_GB2312" w:cs="仿宋_GB2312"/>
          <w:color w:val="auto"/>
          <w:sz w:val="32"/>
          <w:szCs w:val="32"/>
        </w:rPr>
        <w:t>-村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社区、下属单位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”三级签收台账，确保信息无遗漏、责任全落地。</w:t>
      </w:r>
    </w:p>
    <w:p w14:paraId="647BE97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3.遇文物保护政策调整、新增文保单位、突发文物安全事件，</w:t>
      </w:r>
      <w:r>
        <w:rPr>
          <w:rFonts w:hint="eastAsia" w:ascii="仿宋_GB2312" w:hAnsi="仿宋_GB2312" w:eastAsia="仿宋_GB2312" w:cs="仿宋_GB2312"/>
          <w:color w:val="auto"/>
          <w:sz w:val="32"/>
          <w:szCs w:val="32"/>
          <w:lang w:val="en-US" w:eastAsia="zh-CN"/>
        </w:rPr>
        <w:t>县文广旅</w:t>
      </w:r>
      <w:r>
        <w:rPr>
          <w:rFonts w:hint="eastAsia" w:ascii="仿宋_GB2312" w:hAnsi="仿宋_GB2312" w:eastAsia="仿宋_GB2312" w:cs="仿宋_GB2312"/>
          <w:color w:val="auto"/>
          <w:sz w:val="32"/>
          <w:szCs w:val="32"/>
        </w:rPr>
        <w:t>局</w:t>
      </w:r>
      <w:r>
        <w:rPr>
          <w:rFonts w:hint="eastAsia" w:ascii="仿宋_GB2312" w:hAnsi="仿宋_GB2312" w:eastAsia="仿宋_GB2312" w:cs="仿宋_GB2312"/>
          <w:color w:val="auto"/>
          <w:sz w:val="32"/>
          <w:szCs w:val="32"/>
          <w:lang w:val="en-US" w:eastAsia="zh-CN"/>
        </w:rPr>
        <w:t>及时</w:t>
      </w:r>
      <w:r>
        <w:rPr>
          <w:rFonts w:hint="eastAsia" w:ascii="仿宋_GB2312" w:hAnsi="仿宋_GB2312" w:eastAsia="仿宋_GB2312" w:cs="仿宋_GB2312"/>
          <w:color w:val="auto"/>
          <w:sz w:val="32"/>
          <w:szCs w:val="32"/>
        </w:rPr>
        <w:t>发布专项告知信息，三方快速响应、同步落实。</w:t>
      </w:r>
    </w:p>
    <w:p w14:paraId="23B855FB">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（二）巡查监管机制</w:t>
      </w:r>
    </w:p>
    <w:p w14:paraId="565580F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1.村（社区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下属单位</w:t>
      </w:r>
      <w:r>
        <w:rPr>
          <w:rFonts w:hint="eastAsia" w:ascii="仿宋_GB2312" w:hAnsi="仿宋_GB2312" w:eastAsia="仿宋_GB2312" w:cs="仿宋_GB2312"/>
          <w:color w:val="auto"/>
          <w:sz w:val="32"/>
          <w:szCs w:val="32"/>
        </w:rPr>
        <w:t>）实行每日巡查制，管护人员对责任区域文物进行全覆盖巡查；镇街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实行每周抽查制，对辖区文物管护情况进行复核；</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文广旅局实行每月督导制，</w:t>
      </w:r>
      <w:r>
        <w:rPr>
          <w:rFonts w:hint="eastAsia" w:ascii="仿宋_GB2312" w:hAnsi="仿宋_GB2312" w:eastAsia="仿宋_GB2312" w:cs="仿宋_GB2312"/>
          <w:color w:val="auto"/>
          <w:sz w:val="32"/>
          <w:szCs w:val="32"/>
          <w:lang w:val="en-US" w:eastAsia="zh-CN"/>
        </w:rPr>
        <w:t>对全县文物保护单位、点位进行专项巡查或</w:t>
      </w:r>
      <w:r>
        <w:rPr>
          <w:rFonts w:hint="eastAsia" w:ascii="仿宋_GB2312" w:hAnsi="仿宋_GB2312" w:eastAsia="仿宋_GB2312" w:cs="仿宋_GB2312"/>
          <w:color w:val="auto"/>
          <w:sz w:val="32"/>
          <w:szCs w:val="32"/>
        </w:rPr>
        <w:t>随机抽查。</w:t>
      </w:r>
    </w:p>
    <w:p w14:paraId="6950CDA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2.巡查重点涵盖文物本体完整性、保护范围标识完好度、违规建设</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挖掘</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堆放行为、消防安全、自然灾害隐患等</w:t>
      </w:r>
      <w:r>
        <w:rPr>
          <w:rFonts w:hint="eastAsia" w:ascii="仿宋_GB2312" w:hAnsi="仿宋_GB2312" w:eastAsia="仿宋_GB2312" w:cs="仿宋_GB2312"/>
          <w:color w:val="auto"/>
          <w:sz w:val="32"/>
          <w:szCs w:val="32"/>
          <w:lang w:eastAsia="zh-CN"/>
        </w:rPr>
        <w:t>。</w:t>
      </w:r>
    </w:p>
    <w:p w14:paraId="6E97C3A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建立</w:t>
      </w:r>
      <w:r>
        <w:rPr>
          <w:rFonts w:hint="eastAsia" w:ascii="仿宋_GB2312" w:hAnsi="仿宋_GB2312" w:eastAsia="仿宋_GB2312" w:cs="仿宋_GB2312"/>
          <w:color w:val="auto"/>
          <w:sz w:val="32"/>
          <w:szCs w:val="32"/>
        </w:rPr>
        <w:t>文物保护巡查监管问题台账，实现巡查记录、隐患上报、整改跟踪、数据汇总</w:t>
      </w:r>
      <w:r>
        <w:rPr>
          <w:rFonts w:hint="eastAsia" w:ascii="仿宋_GB2312" w:hAnsi="仿宋_GB2312" w:eastAsia="仿宋_GB2312" w:cs="仿宋_GB2312"/>
          <w:color w:val="auto"/>
          <w:sz w:val="32"/>
          <w:szCs w:val="32"/>
          <w:lang w:val="en-US" w:eastAsia="zh-CN"/>
        </w:rPr>
        <w:t>闭环</w:t>
      </w:r>
      <w:r>
        <w:rPr>
          <w:rFonts w:hint="eastAsia" w:ascii="仿宋_GB2312" w:hAnsi="仿宋_GB2312" w:eastAsia="仿宋_GB2312" w:cs="仿宋_GB2312"/>
          <w:color w:val="auto"/>
          <w:sz w:val="32"/>
          <w:szCs w:val="32"/>
        </w:rPr>
        <w:t>管理。</w:t>
      </w:r>
    </w:p>
    <w:p w14:paraId="2C5820D4">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（三）协同处置机制</w:t>
      </w:r>
    </w:p>
    <w:p w14:paraId="0950787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实行</w:t>
      </w:r>
      <w:r>
        <w:rPr>
          <w:rFonts w:hint="eastAsia" w:ascii="仿宋_GB2312" w:hAnsi="仿宋_GB2312" w:eastAsia="仿宋_GB2312" w:cs="仿宋_GB2312"/>
          <w:color w:val="auto"/>
          <w:sz w:val="32"/>
          <w:szCs w:val="32"/>
        </w:rPr>
        <w:t>文物安全隐患“发现-上报-处置-复核”闭环</w:t>
      </w:r>
      <w:r>
        <w:rPr>
          <w:rFonts w:hint="eastAsia" w:ascii="仿宋_GB2312" w:hAnsi="仿宋_GB2312" w:eastAsia="仿宋_GB2312" w:cs="仿宋_GB2312"/>
          <w:color w:val="auto"/>
          <w:sz w:val="32"/>
          <w:szCs w:val="32"/>
          <w:lang w:val="en-US" w:eastAsia="zh-CN"/>
        </w:rPr>
        <w:t>管理。</w:t>
      </w:r>
      <w:r>
        <w:rPr>
          <w:rFonts w:hint="eastAsia" w:ascii="仿宋_GB2312" w:hAnsi="仿宋_GB2312" w:eastAsia="仿宋_GB2312" w:cs="仿宋_GB2312"/>
          <w:color w:val="auto"/>
          <w:sz w:val="32"/>
          <w:szCs w:val="32"/>
        </w:rPr>
        <w:t>村（社区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下属单位</w:t>
      </w:r>
      <w:r>
        <w:rPr>
          <w:rFonts w:hint="eastAsia" w:ascii="仿宋_GB2312" w:hAnsi="仿宋_GB2312" w:eastAsia="仿宋_GB2312" w:cs="仿宋_GB2312"/>
          <w:color w:val="auto"/>
          <w:sz w:val="32"/>
          <w:szCs w:val="32"/>
        </w:rPr>
        <w:t>）发现文物安全隐患</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立即</w:t>
      </w:r>
      <w:r>
        <w:rPr>
          <w:rFonts w:hint="eastAsia" w:ascii="仿宋_GB2312" w:hAnsi="仿宋_GB2312" w:eastAsia="仿宋_GB2312" w:cs="仿宋_GB2312"/>
          <w:color w:val="auto"/>
          <w:sz w:val="32"/>
          <w:szCs w:val="32"/>
        </w:rPr>
        <w:t>上报镇街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，镇街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24小时内核查处置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动态清零。</w:t>
      </w:r>
    </w:p>
    <w:p w14:paraId="2C5AC4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镇街（部门）、村（社区、下属单位）发现文物违法等</w:t>
      </w:r>
      <w:r>
        <w:rPr>
          <w:rFonts w:hint="eastAsia" w:ascii="仿宋_GB2312" w:hAnsi="仿宋_GB2312" w:eastAsia="仿宋_GB2312" w:cs="仿宋_GB2312"/>
          <w:color w:val="auto"/>
          <w:sz w:val="32"/>
          <w:szCs w:val="32"/>
        </w:rPr>
        <w:t>重大问题</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立即向公安部门报案，并</w:t>
      </w:r>
      <w:r>
        <w:rPr>
          <w:rFonts w:hint="eastAsia" w:ascii="仿宋_GB2312" w:hAnsi="仿宋_GB2312" w:eastAsia="仿宋_GB2312" w:cs="仿宋_GB2312"/>
          <w:color w:val="auto"/>
          <w:sz w:val="32"/>
          <w:szCs w:val="32"/>
        </w:rPr>
        <w:t>同步</w:t>
      </w:r>
      <w:r>
        <w:rPr>
          <w:rFonts w:hint="eastAsia" w:ascii="仿宋_GB2312" w:hAnsi="仿宋_GB2312" w:eastAsia="仿宋_GB2312" w:cs="仿宋_GB2312"/>
          <w:color w:val="auto"/>
          <w:sz w:val="32"/>
          <w:szCs w:val="32"/>
          <w:lang w:val="en-US" w:eastAsia="zh-CN"/>
        </w:rPr>
        <w:t>电话</w:t>
      </w:r>
      <w:r>
        <w:rPr>
          <w:rFonts w:hint="eastAsia" w:ascii="仿宋_GB2312" w:hAnsi="仿宋_GB2312" w:eastAsia="仿宋_GB2312" w:cs="仿宋_GB2312"/>
          <w:color w:val="auto"/>
          <w:sz w:val="32"/>
          <w:szCs w:val="32"/>
        </w:rPr>
        <w:t>上报</w:t>
      </w:r>
      <w:r>
        <w:rPr>
          <w:rFonts w:hint="eastAsia" w:ascii="仿宋_GB2312" w:hAnsi="仿宋_GB2312" w:eastAsia="仿宋_GB2312" w:cs="仿宋_GB2312"/>
          <w:color w:val="auto"/>
          <w:sz w:val="32"/>
          <w:szCs w:val="32"/>
          <w:lang w:val="en-US" w:eastAsia="zh-CN"/>
        </w:rPr>
        <w:t>县文广旅</w:t>
      </w:r>
      <w:r>
        <w:rPr>
          <w:rFonts w:hint="eastAsia" w:ascii="仿宋_GB2312" w:hAnsi="仿宋_GB2312" w:eastAsia="仿宋_GB2312" w:cs="仿宋_GB2312"/>
          <w:color w:val="auto"/>
          <w:sz w:val="32"/>
          <w:szCs w:val="32"/>
        </w:rPr>
        <w:t>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县文广旅</w:t>
      </w:r>
      <w:r>
        <w:rPr>
          <w:rFonts w:hint="eastAsia" w:ascii="仿宋_GB2312" w:hAnsi="仿宋_GB2312" w:eastAsia="仿宋_GB2312" w:cs="仿宋_GB2312"/>
          <w:color w:val="auto"/>
          <w:sz w:val="32"/>
          <w:szCs w:val="32"/>
        </w:rPr>
        <w:t>局</w:t>
      </w:r>
      <w:r>
        <w:rPr>
          <w:rFonts w:hint="eastAsia" w:ascii="仿宋_GB2312" w:hAnsi="仿宋_GB2312" w:eastAsia="仿宋_GB2312" w:cs="仿宋_GB2312"/>
          <w:color w:val="auto"/>
          <w:sz w:val="32"/>
          <w:szCs w:val="32"/>
          <w:lang w:val="en-US" w:eastAsia="zh-CN"/>
        </w:rPr>
        <w:t>接到电话后，要立即组织人员赶赴现场核查情况，</w:t>
      </w:r>
      <w:r>
        <w:rPr>
          <w:rFonts w:hint="eastAsia" w:ascii="仿宋_GB2312" w:hAnsi="仿宋_GB2312" w:eastAsia="仿宋_GB2312" w:cs="仿宋_GB2312"/>
          <w:color w:val="auto"/>
          <w:sz w:val="32"/>
          <w:szCs w:val="32"/>
        </w:rPr>
        <w:t>统筹专业力量介入，指导</w:t>
      </w:r>
      <w:r>
        <w:rPr>
          <w:rFonts w:hint="eastAsia" w:ascii="仿宋_GB2312" w:hAnsi="仿宋_GB2312" w:eastAsia="仿宋_GB2312" w:cs="仿宋_GB2312"/>
          <w:color w:val="auto"/>
          <w:sz w:val="32"/>
          <w:szCs w:val="32"/>
          <w:lang w:val="en-US" w:eastAsia="zh-CN"/>
        </w:rPr>
        <w:t>属地（部门）</w:t>
      </w:r>
      <w:r>
        <w:rPr>
          <w:rFonts w:hint="eastAsia" w:ascii="仿宋_GB2312" w:hAnsi="仿宋_GB2312" w:eastAsia="仿宋_GB2312" w:cs="仿宋_GB2312"/>
          <w:color w:val="auto"/>
          <w:sz w:val="32"/>
          <w:szCs w:val="32"/>
        </w:rPr>
        <w:t>完成整改，整改后三方联合复核销号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属地（部门）配合公安机关做好文物违法案件调查、处置工作。</w:t>
      </w:r>
    </w:p>
    <w:p w14:paraId="3221A11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针对火灾、洪涝、地震、本体坍塌等突发</w:t>
      </w:r>
      <w:r>
        <w:rPr>
          <w:rFonts w:hint="eastAsia" w:ascii="仿宋_GB2312" w:hAnsi="仿宋_GB2312" w:eastAsia="仿宋_GB2312" w:cs="仿宋_GB2312"/>
          <w:color w:val="auto"/>
          <w:sz w:val="32"/>
          <w:szCs w:val="32"/>
          <w:lang w:val="en-US" w:eastAsia="zh-CN"/>
        </w:rPr>
        <w:t>险情，县文广旅</w:t>
      </w:r>
      <w:r>
        <w:rPr>
          <w:rFonts w:hint="eastAsia" w:ascii="仿宋_GB2312" w:hAnsi="仿宋_GB2312" w:eastAsia="仿宋_GB2312" w:cs="仿宋_GB2312"/>
          <w:color w:val="auto"/>
          <w:sz w:val="32"/>
          <w:szCs w:val="32"/>
        </w:rPr>
        <w:t>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镇街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村（社区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下属单位</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主要负责同志及相关责任人要第一时间赶赴现场进行处置。</w:t>
      </w:r>
    </w:p>
    <w:p w14:paraId="020CF04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（四）宣传培训机制</w:t>
      </w:r>
    </w:p>
    <w:p w14:paraId="5DD6377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文广旅局每年</w:t>
      </w:r>
      <w:r>
        <w:rPr>
          <w:rFonts w:hint="eastAsia" w:ascii="仿宋_GB2312" w:hAnsi="仿宋_GB2312" w:eastAsia="仿宋_GB2312" w:cs="仿宋_GB2312"/>
          <w:color w:val="auto"/>
          <w:sz w:val="32"/>
          <w:szCs w:val="32"/>
          <w:lang w:val="en-US" w:eastAsia="zh-CN"/>
        </w:rPr>
        <w:t>开展线上、线下不同层次的宣传</w:t>
      </w:r>
      <w:r>
        <w:rPr>
          <w:rFonts w:hint="eastAsia" w:ascii="仿宋_GB2312" w:hAnsi="仿宋_GB2312" w:eastAsia="仿宋_GB2312" w:cs="仿宋_GB2312"/>
          <w:color w:val="auto"/>
          <w:sz w:val="32"/>
          <w:szCs w:val="32"/>
        </w:rPr>
        <w:t>培训，内容涵盖文物保护法律法规、巡查技巧、隐患识别、应急处置、专业管护知识等，提升</w:t>
      </w:r>
      <w:r>
        <w:rPr>
          <w:rFonts w:hint="eastAsia" w:ascii="仿宋_GB2312" w:hAnsi="仿宋_GB2312" w:eastAsia="仿宋_GB2312" w:cs="仿宋_GB2312"/>
          <w:color w:val="auto"/>
          <w:sz w:val="32"/>
          <w:szCs w:val="32"/>
          <w:lang w:val="en-US" w:eastAsia="zh-CN"/>
        </w:rPr>
        <w:t>文物保护</w:t>
      </w:r>
      <w:r>
        <w:rPr>
          <w:rFonts w:hint="eastAsia" w:ascii="仿宋_GB2312" w:hAnsi="仿宋_GB2312" w:eastAsia="仿宋_GB2312" w:cs="仿宋_GB2312"/>
          <w:color w:val="auto"/>
          <w:sz w:val="32"/>
          <w:szCs w:val="32"/>
        </w:rPr>
        <w:t>人员业务能力。</w:t>
      </w:r>
    </w:p>
    <w:p w14:paraId="24241AD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2.各镇街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、村（社区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下属单位</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要</w:t>
      </w:r>
      <w:r>
        <w:rPr>
          <w:rFonts w:hint="eastAsia" w:ascii="仿宋_GB2312" w:hAnsi="仿宋_GB2312" w:eastAsia="仿宋_GB2312" w:cs="仿宋_GB2312"/>
          <w:color w:val="auto"/>
          <w:sz w:val="32"/>
          <w:szCs w:val="32"/>
        </w:rPr>
        <w:t>结合文化宣传、节日活动、入户走访等，通过宣传栏、广播、微信群、宣传</w:t>
      </w:r>
      <w:r>
        <w:rPr>
          <w:rFonts w:hint="eastAsia" w:ascii="仿宋_GB2312" w:hAnsi="仿宋_GB2312" w:eastAsia="仿宋_GB2312" w:cs="仿宋_GB2312"/>
          <w:color w:val="auto"/>
          <w:sz w:val="32"/>
          <w:szCs w:val="32"/>
          <w:lang w:val="en-US" w:eastAsia="zh-CN"/>
        </w:rPr>
        <w:t>页</w:t>
      </w:r>
      <w:r>
        <w:rPr>
          <w:rFonts w:hint="eastAsia" w:ascii="仿宋_GB2312" w:hAnsi="仿宋_GB2312" w:eastAsia="仿宋_GB2312" w:cs="仿宋_GB2312"/>
          <w:color w:val="auto"/>
          <w:sz w:val="32"/>
          <w:szCs w:val="32"/>
        </w:rPr>
        <w:t>等形式，常态化开展文物保护</w:t>
      </w:r>
      <w:r>
        <w:rPr>
          <w:rFonts w:hint="eastAsia" w:ascii="仿宋_GB2312" w:hAnsi="仿宋_GB2312" w:eastAsia="仿宋_GB2312" w:cs="仿宋_GB2312"/>
          <w:color w:val="auto"/>
          <w:sz w:val="32"/>
          <w:szCs w:val="32"/>
          <w:lang w:val="en-US" w:eastAsia="zh-CN"/>
        </w:rPr>
        <w:t>法</w:t>
      </w:r>
      <w:r>
        <w:rPr>
          <w:rFonts w:hint="eastAsia" w:ascii="仿宋_GB2312" w:hAnsi="仿宋_GB2312" w:eastAsia="仿宋_GB2312" w:cs="仿宋_GB2312"/>
          <w:color w:val="auto"/>
          <w:sz w:val="32"/>
          <w:szCs w:val="32"/>
        </w:rPr>
        <w:t>宣传，曝光违法违规案例，增强全民</w:t>
      </w:r>
      <w:r>
        <w:rPr>
          <w:rFonts w:hint="eastAsia" w:ascii="仿宋_GB2312" w:hAnsi="仿宋_GB2312" w:eastAsia="仿宋_GB2312" w:cs="仿宋_GB2312"/>
          <w:color w:val="auto"/>
          <w:sz w:val="32"/>
          <w:szCs w:val="32"/>
          <w:lang w:val="en-US" w:eastAsia="zh-CN"/>
        </w:rPr>
        <w:t>文物</w:t>
      </w:r>
      <w:r>
        <w:rPr>
          <w:rFonts w:hint="eastAsia" w:ascii="仿宋_GB2312" w:hAnsi="仿宋_GB2312" w:eastAsia="仿宋_GB2312" w:cs="仿宋_GB2312"/>
          <w:color w:val="auto"/>
          <w:sz w:val="32"/>
          <w:szCs w:val="32"/>
        </w:rPr>
        <w:t>保护意识。</w:t>
      </w:r>
    </w:p>
    <w:p w14:paraId="7E7FA33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（五）考核评价机制</w:t>
      </w:r>
    </w:p>
    <w:p w14:paraId="000F0F5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按照县委组织部《科级领导班子和领导干部年度综合考核指标体系》中“本辖区内文物保护情况”指标，对</w:t>
      </w:r>
      <w:r>
        <w:rPr>
          <w:rFonts w:hint="eastAsia" w:ascii="仿宋_GB2312" w:hAnsi="仿宋_GB2312" w:eastAsia="仿宋_GB2312" w:cs="仿宋_GB2312"/>
          <w:color w:val="auto"/>
          <w:sz w:val="32"/>
          <w:szCs w:val="32"/>
        </w:rPr>
        <w:t>文物保护三方共管工作</w:t>
      </w:r>
      <w:r>
        <w:rPr>
          <w:rFonts w:hint="eastAsia" w:ascii="仿宋_GB2312" w:hAnsi="仿宋_GB2312" w:eastAsia="仿宋_GB2312" w:cs="仿宋_GB2312"/>
          <w:color w:val="auto"/>
          <w:sz w:val="32"/>
          <w:szCs w:val="32"/>
          <w:lang w:val="en-US" w:eastAsia="zh-CN"/>
        </w:rPr>
        <w:t>进行</w:t>
      </w:r>
      <w:r>
        <w:rPr>
          <w:rFonts w:hint="eastAsia" w:ascii="仿宋_GB2312" w:hAnsi="仿宋_GB2312" w:eastAsia="仿宋_GB2312" w:cs="仿宋_GB2312"/>
          <w:color w:val="auto"/>
          <w:sz w:val="32"/>
          <w:szCs w:val="32"/>
        </w:rPr>
        <w:t>年度考核，重点考核告知签收、巡查落实、隐患整改、宣传成效、文物安全等内容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切实推动文物保护各项任务落地见效。</w:t>
      </w:r>
    </w:p>
    <w:p w14:paraId="086D70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2.对责任不落实、巡查不到位、隐患整改不力，导致文物损毁、流失或造成不良影响的，依规依纪追究相关单位及</w:t>
      </w:r>
      <w:r>
        <w:rPr>
          <w:rFonts w:hint="eastAsia" w:ascii="仿宋_GB2312" w:hAnsi="仿宋_GB2312" w:eastAsia="仿宋_GB2312" w:cs="仿宋_GB2312"/>
          <w:color w:val="auto"/>
          <w:sz w:val="32"/>
          <w:szCs w:val="32"/>
          <w:lang w:val="en-US" w:eastAsia="zh-CN"/>
        </w:rPr>
        <w:t>有关</w:t>
      </w:r>
      <w:r>
        <w:rPr>
          <w:rFonts w:hint="eastAsia" w:ascii="仿宋_GB2312" w:hAnsi="仿宋_GB2312" w:eastAsia="仿宋_GB2312" w:cs="仿宋_GB2312"/>
          <w:color w:val="auto"/>
          <w:sz w:val="32"/>
          <w:szCs w:val="32"/>
        </w:rPr>
        <w:t>责任人责任；涉嫌违法的，移交司法机关依法处理。</w:t>
      </w:r>
    </w:p>
    <w:p w14:paraId="7325F07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1416C42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14BD535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附件：《高阳县文物保护告知书》</w:t>
      </w:r>
    </w:p>
    <w:p w14:paraId="61079AD5">
      <w:pPr>
        <w:keepNext w:val="0"/>
        <w:keepLines w:val="0"/>
        <w:pageBreakBefore w:val="0"/>
        <w:widowControl w:val="0"/>
        <w:kinsoku/>
        <w:wordWrap/>
        <w:overflowPunct/>
        <w:topLinePunct w:val="0"/>
        <w:autoSpaceDE/>
        <w:autoSpaceDN/>
        <w:bidi w:val="0"/>
        <w:adjustRightInd w:val="0"/>
        <w:snapToGrid w:val="0"/>
        <w:spacing w:line="560" w:lineRule="exact"/>
        <w:ind w:firstLine="5120" w:firstLineChars="1600"/>
        <w:textAlignment w:val="auto"/>
        <w:rPr>
          <w:rFonts w:hint="eastAsia" w:ascii="仿宋_GB2312" w:hAnsi="仿宋_GB2312" w:eastAsia="仿宋_GB2312" w:cs="仿宋_GB2312"/>
          <w:color w:val="auto"/>
          <w:sz w:val="32"/>
          <w:szCs w:val="32"/>
          <w:lang w:val="en-US" w:eastAsia="zh-CN"/>
        </w:rPr>
      </w:pPr>
    </w:p>
    <w:p w14:paraId="2F1BB136">
      <w:pPr>
        <w:keepNext w:val="0"/>
        <w:keepLines w:val="0"/>
        <w:pageBreakBefore w:val="0"/>
        <w:widowControl w:val="0"/>
        <w:kinsoku/>
        <w:wordWrap/>
        <w:overflowPunct/>
        <w:topLinePunct w:val="0"/>
        <w:autoSpaceDE/>
        <w:autoSpaceDN/>
        <w:bidi w:val="0"/>
        <w:adjustRightInd w:val="0"/>
        <w:snapToGrid w:val="0"/>
        <w:spacing w:line="560" w:lineRule="exact"/>
        <w:ind w:firstLine="5120" w:firstLineChars="1600"/>
        <w:textAlignment w:val="auto"/>
        <w:rPr>
          <w:rFonts w:hint="eastAsia" w:ascii="仿宋_GB2312" w:hAnsi="仿宋_GB2312" w:eastAsia="仿宋_GB2312" w:cs="仿宋_GB2312"/>
          <w:color w:val="auto"/>
          <w:sz w:val="32"/>
          <w:szCs w:val="32"/>
          <w:lang w:val="en-US" w:eastAsia="zh-CN"/>
        </w:rPr>
      </w:pPr>
    </w:p>
    <w:p w14:paraId="1EE1582C">
      <w:pPr>
        <w:keepNext w:val="0"/>
        <w:keepLines w:val="0"/>
        <w:pageBreakBefore w:val="0"/>
        <w:kinsoku/>
        <w:wordWrap/>
        <w:overflowPunct/>
        <w:topLinePunct w:val="0"/>
        <w:autoSpaceDE/>
        <w:autoSpaceDN/>
        <w:bidi w:val="0"/>
        <w:adjustRightInd w:val="0"/>
        <w:snapToGrid w:val="0"/>
        <w:spacing w:line="520" w:lineRule="exact"/>
        <w:ind w:firstLine="880" w:firstLineChars="200"/>
        <w:jc w:val="center"/>
        <w:textAlignment w:val="auto"/>
        <w:rPr>
          <w:rFonts w:hint="eastAsia" w:ascii="方正小标宋简体" w:hAnsi="方正小标宋简体" w:eastAsia="方正小标宋简体" w:cs="方正小标宋简体"/>
          <w:b w:val="0"/>
          <w:bCs w:val="0"/>
          <w:sz w:val="44"/>
          <w:szCs w:val="44"/>
          <w:lang w:val="en-US" w:eastAsia="zh-CN"/>
        </w:rPr>
      </w:pPr>
    </w:p>
    <w:p w14:paraId="00A30527">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w:t>
      </w:r>
    </w:p>
    <w:p w14:paraId="4BD0B905">
      <w:pPr>
        <w:keepNext w:val="0"/>
        <w:keepLines w:val="0"/>
        <w:pageBreakBefore w:val="0"/>
        <w:kinsoku/>
        <w:wordWrap/>
        <w:overflowPunct/>
        <w:topLinePunct w:val="0"/>
        <w:autoSpaceDE/>
        <w:autoSpaceDN/>
        <w:bidi w:val="0"/>
        <w:adjustRightInd w:val="0"/>
        <w:snapToGrid w:val="0"/>
        <w:spacing w:line="520" w:lineRule="exact"/>
        <w:ind w:firstLine="880" w:firstLineChars="20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高阳县文物保护告知书</w:t>
      </w:r>
    </w:p>
    <w:p w14:paraId="4C82D2BE">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eastAsia"/>
          <w:sz w:val="32"/>
          <w:szCs w:val="32"/>
          <w:lang w:val="en-US" w:eastAsia="zh-CN"/>
        </w:rPr>
      </w:pPr>
    </w:p>
    <w:p w14:paraId="09B8BD35">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〔文号   〕</w:t>
      </w:r>
    </w:p>
    <w:p w14:paraId="0E71E9DD">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 xml:space="preserve"> ：</w:t>
      </w:r>
    </w:p>
    <w:p w14:paraId="29A64AC9">
      <w:pPr>
        <w:keepNext w:val="0"/>
        <w:keepLines w:val="0"/>
        <w:pageBreakBefore w:val="0"/>
        <w:widowControl/>
        <w:suppressLineNumbers w:val="0"/>
        <w:kinsoku/>
        <w:wordWrap/>
        <w:overflowPunct/>
        <w:topLinePunct w:val="0"/>
        <w:autoSpaceDE/>
        <w:autoSpaceDN/>
        <w:bidi w:val="0"/>
        <w:adjustRightInd w:val="0"/>
        <w:snapToGrid w:val="0"/>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为切实加强文物保护管理，维护文物本体安全与历史风貌完整，依据《中华人民共和国文物保护法》相关规定，</w:t>
      </w:r>
      <w:r>
        <w:rPr>
          <w:rFonts w:hint="eastAsia" w:ascii="仿宋" w:hAnsi="仿宋" w:eastAsia="仿宋" w:cs="仿宋"/>
          <w:kern w:val="0"/>
          <w:sz w:val="32"/>
          <w:szCs w:val="32"/>
          <w:lang w:val="en-US" w:eastAsia="zh-CN" w:bidi="ar"/>
        </w:rPr>
        <w:t>地方各级人民政府负责本行政区域内的文物保护工作。一切机关、组织和个人都有依法保护文物的义务</w:t>
      </w:r>
      <w:r>
        <w:rPr>
          <w:rFonts w:hint="eastAsia" w:ascii="仿宋" w:hAnsi="仿宋" w:eastAsia="仿宋" w:cs="仿宋"/>
          <w:sz w:val="32"/>
          <w:szCs w:val="32"/>
          <w:lang w:val="en-US" w:eastAsia="zh-CN"/>
        </w:rPr>
        <w:t>。现就文物保护有关事项告知如下：</w:t>
      </w:r>
    </w:p>
    <w:p w14:paraId="5AB91E65">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一、保护范围</w:t>
      </w:r>
    </w:p>
    <w:p w14:paraId="7166242E">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你单位管理范围内</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属于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 xml:space="preserve">级文物保护单位及未核定公布为文物保护单位的不可移动文物。 </w:t>
      </w:r>
    </w:p>
    <w:p w14:paraId="1B2B86E3">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二、法定保护义务</w:t>
      </w:r>
    </w:p>
    <w:p w14:paraId="1DC146A7">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1.各级人民政府应当重视文物保护，正确处理经济建设、社会发展与文物保护的关系，确保文物安全。</w:t>
      </w:r>
    </w:p>
    <w:p w14:paraId="0FB5E16C">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2.不可移动文物的所有人或者使用人应当加强用火、用电、用气等的消防安全管理，根据不可移动文物的特点，采取有针对性的消防安全措施，提高火灾预防和应急处置能力，确保文物安全。</w:t>
      </w:r>
    </w:p>
    <w:p w14:paraId="0BA431FA">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3.在建设工程、农业生产等活动中，任何单位或者个人发现文物或者疑似文物的，应当保护现场，立即报告当地文物行政部门，任何单位或者个人不得哄抢、私分、藏匿。</w:t>
      </w:r>
    </w:p>
    <w:p w14:paraId="6267FEA9">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4.国家鼓励文物收藏单位以外的公民、组织将其收藏的文物捐赠给文物收藏单位或者出借给文物收藏单位展览和研究。</w:t>
      </w:r>
    </w:p>
    <w:p w14:paraId="732044FE">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三、禁止性规定</w:t>
      </w:r>
    </w:p>
    <w:p w14:paraId="63CB6299">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1.在文物保护单位的保护范围内不得进行文物保护工程以外的其他建设工程或者爆破、钻探、挖掘等作业；因特殊情况需要进行的，必须征得相应文物行政部门同意，确保文物保护单位安全。</w:t>
      </w:r>
    </w:p>
    <w:p w14:paraId="05EBCA7F">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2.在文物保护单位的建设控制地带内进行建设工程，不得破坏文物保护单位的历史风貌；工程设计方案须经文物部门同意并依法办理规划许可。</w:t>
      </w:r>
    </w:p>
    <w:p w14:paraId="1BC21698">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3.在文物保护单位的保护范围和建设控制地带内，不得建设污染文物保护单位及其环境的设施，不得进行可能影响文物保护单位安全及其环境的活动。</w:t>
      </w:r>
    </w:p>
    <w:p w14:paraId="208AAD0B">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4.使用不可移动文物，必须遵守不改变文物现状和最小干预原则，负责保护文物本体及其附属文物的安全，不得损毁、改建、添建或者拆除不可移动文物。</w:t>
      </w:r>
    </w:p>
    <w:p w14:paraId="1F23F703">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5.地下埋藏和水下遗存的文物，任何单位或者个人都不得私自发掘。</w:t>
      </w:r>
    </w:p>
    <w:p w14:paraId="4ADDF0B0">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6.禁止非法买卖、收藏、出租、抵押国有文物，禁止盗掘古文化遗址、古墓葬等不可移动文物。</w:t>
      </w:r>
    </w:p>
    <w:p w14:paraId="4B68F0F1">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7.禁止在文物本体刻划、涂污、悬挂杂物、违规设置广告，禁止破坏文物安防、消防、防雷等保护设施。</w:t>
      </w:r>
    </w:p>
    <w:p w14:paraId="6B683F6F">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17A0B476">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7FD5F5E6">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高阳县文化广电和旅游局</w:t>
      </w:r>
    </w:p>
    <w:p w14:paraId="57E66962">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年    月   日</w:t>
      </w:r>
    </w:p>
    <w:p w14:paraId="6E2939B4">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eastAsia" w:ascii="仿宋" w:hAnsi="仿宋" w:eastAsia="仿宋" w:cs="仿宋"/>
          <w:sz w:val="32"/>
          <w:szCs w:val="32"/>
          <w:lang w:val="en-US" w:eastAsia="zh-CN"/>
        </w:rPr>
      </w:pPr>
    </w:p>
    <w:p w14:paraId="7AE34219">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文物保护签收人：                    </w:t>
      </w:r>
    </w:p>
    <w:p w14:paraId="238913F7">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联系电话：</w:t>
      </w:r>
    </w:p>
    <w:p w14:paraId="7018D839">
      <w:pPr>
        <w:keepNext w:val="0"/>
        <w:keepLines w:val="0"/>
        <w:pageBreakBefore w:val="0"/>
        <w:widowControl w:val="0"/>
        <w:kinsoku/>
        <w:wordWrap/>
        <w:overflowPunct/>
        <w:topLinePunct w:val="0"/>
        <w:autoSpaceDE/>
        <w:autoSpaceDN/>
        <w:bidi w:val="0"/>
        <w:spacing w:line="540" w:lineRule="exact"/>
        <w:ind w:firstLine="640" w:firstLineChars="200"/>
        <w:rPr>
          <w:rFonts w:hint="default"/>
          <w:lang w:val="en-US" w:eastAsia="zh-CN"/>
        </w:rPr>
      </w:pPr>
      <w:r>
        <w:rPr>
          <w:rFonts w:hint="eastAsia" w:ascii="仿宋" w:hAnsi="仿宋" w:eastAsia="仿宋" w:cs="仿宋"/>
          <w:sz w:val="32"/>
          <w:szCs w:val="32"/>
          <w:lang w:val="en-US" w:eastAsia="zh-CN"/>
        </w:rPr>
        <w:t xml:space="preserve">身份证号：    </w:t>
      </w:r>
    </w:p>
    <w:p w14:paraId="12341169">
      <w:pPr>
        <w:pStyle w:val="11"/>
        <w:rPr>
          <w:rFonts w:hint="default"/>
          <w:lang w:val="en-US" w:eastAsia="zh-CN"/>
        </w:rPr>
      </w:pPr>
    </w:p>
    <w:p w14:paraId="6B6DD923">
      <w:pPr>
        <w:rPr>
          <w:rFonts w:hint="default"/>
          <w:lang w:val="en-US" w:eastAsia="zh-CN"/>
        </w:rPr>
      </w:pPr>
    </w:p>
    <w:p w14:paraId="11843C86">
      <w:pPr>
        <w:pStyle w:val="11"/>
        <w:rPr>
          <w:rFonts w:hint="default"/>
          <w:lang w:val="en-US" w:eastAsia="zh-CN"/>
        </w:rPr>
      </w:pPr>
    </w:p>
    <w:p w14:paraId="746CF595">
      <w:pPr>
        <w:rPr>
          <w:rFonts w:hint="default"/>
          <w:lang w:val="en-US" w:eastAsia="zh-CN"/>
        </w:rPr>
      </w:pPr>
    </w:p>
    <w:p w14:paraId="0D4DA3B0">
      <w:pPr>
        <w:pStyle w:val="2"/>
        <w:rPr>
          <w:rFonts w:hint="default"/>
          <w:lang w:val="en-US" w:eastAsia="zh-CN"/>
        </w:rPr>
      </w:pPr>
    </w:p>
    <w:p w14:paraId="083D0F99">
      <w:pPr>
        <w:rPr>
          <w:rFonts w:hint="default"/>
          <w:lang w:val="en-US" w:eastAsia="zh-CN"/>
        </w:rPr>
      </w:pPr>
    </w:p>
    <w:p w14:paraId="302A48B9">
      <w:pPr>
        <w:pStyle w:val="2"/>
        <w:rPr>
          <w:rFonts w:hint="default"/>
          <w:lang w:val="en-US" w:eastAsia="zh-CN"/>
        </w:rPr>
      </w:pPr>
    </w:p>
    <w:p w14:paraId="7F347E8F">
      <w:pPr>
        <w:rPr>
          <w:rFonts w:hint="default"/>
          <w:lang w:val="en-US" w:eastAsia="zh-CN"/>
        </w:rPr>
      </w:pPr>
    </w:p>
    <w:p w14:paraId="7EC76F6A">
      <w:pPr>
        <w:pStyle w:val="2"/>
        <w:rPr>
          <w:rFonts w:hint="default"/>
          <w:lang w:val="en-US" w:eastAsia="zh-CN"/>
        </w:rPr>
      </w:pPr>
    </w:p>
    <w:p w14:paraId="6CF5A1A1">
      <w:pPr>
        <w:rPr>
          <w:rFonts w:hint="default"/>
          <w:lang w:val="en-US" w:eastAsia="zh-CN"/>
        </w:rPr>
      </w:pPr>
    </w:p>
    <w:p w14:paraId="665F09CE">
      <w:pPr>
        <w:pStyle w:val="2"/>
        <w:rPr>
          <w:rFonts w:hint="default"/>
          <w:lang w:val="en-US" w:eastAsia="zh-CN"/>
        </w:rPr>
      </w:pPr>
    </w:p>
    <w:p w14:paraId="55620F03">
      <w:pPr>
        <w:rPr>
          <w:rFonts w:hint="default"/>
          <w:lang w:val="en-US" w:eastAsia="zh-CN"/>
        </w:rPr>
      </w:pPr>
    </w:p>
    <w:p w14:paraId="1756B653">
      <w:pPr>
        <w:pStyle w:val="2"/>
        <w:rPr>
          <w:rFonts w:hint="default"/>
          <w:lang w:val="en-US" w:eastAsia="zh-CN"/>
        </w:rPr>
      </w:pPr>
    </w:p>
    <w:p w14:paraId="6A366872">
      <w:pPr>
        <w:rPr>
          <w:rFonts w:hint="default"/>
          <w:lang w:val="en-US" w:eastAsia="zh-CN"/>
        </w:rPr>
      </w:pPr>
    </w:p>
    <w:p w14:paraId="29CAD357">
      <w:pPr>
        <w:pStyle w:val="2"/>
        <w:rPr>
          <w:rFonts w:hint="default"/>
          <w:lang w:val="en-US" w:eastAsia="zh-CN"/>
        </w:rPr>
      </w:pPr>
    </w:p>
    <w:p w14:paraId="5ED093ED">
      <w:pPr>
        <w:rPr>
          <w:rFonts w:hint="default"/>
          <w:lang w:val="en-US" w:eastAsia="zh-CN"/>
        </w:rPr>
      </w:pPr>
    </w:p>
    <w:p w14:paraId="3B9F71BE">
      <w:pPr>
        <w:pStyle w:val="2"/>
        <w:rPr>
          <w:rFonts w:hint="default"/>
          <w:lang w:val="en-US" w:eastAsia="zh-CN"/>
        </w:rPr>
      </w:pPr>
    </w:p>
    <w:p w14:paraId="26A06567">
      <w:pPr>
        <w:rPr>
          <w:rFonts w:hint="default"/>
          <w:lang w:val="en-US" w:eastAsia="zh-CN"/>
        </w:rPr>
      </w:pPr>
    </w:p>
    <w:p w14:paraId="56C1C57D">
      <w:pPr>
        <w:pStyle w:val="2"/>
        <w:rPr>
          <w:rFonts w:hint="default"/>
          <w:lang w:val="en-US" w:eastAsia="zh-CN"/>
        </w:rPr>
      </w:pPr>
    </w:p>
    <w:p w14:paraId="2D773488">
      <w:pPr>
        <w:rPr>
          <w:rFonts w:hint="default"/>
          <w:lang w:val="en-US" w:eastAsia="zh-CN"/>
        </w:rPr>
      </w:pPr>
    </w:p>
    <w:p w14:paraId="629C57D0">
      <w:pPr>
        <w:pStyle w:val="2"/>
        <w:rPr>
          <w:rFonts w:hint="default"/>
          <w:lang w:val="en-US" w:eastAsia="zh-CN"/>
        </w:rPr>
      </w:pPr>
    </w:p>
    <w:p w14:paraId="24DB5A66">
      <w:pPr>
        <w:rPr>
          <w:rFonts w:hint="default"/>
          <w:lang w:val="en-US" w:eastAsia="zh-CN"/>
        </w:rPr>
      </w:pPr>
    </w:p>
    <w:p w14:paraId="34FDEB02">
      <w:pPr>
        <w:pStyle w:val="2"/>
        <w:rPr>
          <w:rFonts w:hint="default"/>
          <w:lang w:val="en-US" w:eastAsia="zh-CN"/>
        </w:rPr>
      </w:pPr>
    </w:p>
    <w:p w14:paraId="634CB0D5">
      <w:pPr>
        <w:rPr>
          <w:rFonts w:hint="default"/>
          <w:lang w:val="en-US" w:eastAsia="zh-CN"/>
        </w:rPr>
      </w:pPr>
    </w:p>
    <w:p w14:paraId="2AD6E880">
      <w:pPr>
        <w:pStyle w:val="2"/>
        <w:rPr>
          <w:rFonts w:hint="default"/>
          <w:lang w:val="en-US" w:eastAsia="zh-CN"/>
        </w:rPr>
      </w:pPr>
    </w:p>
    <w:p w14:paraId="6E34EE4E">
      <w:pPr>
        <w:rPr>
          <w:rFonts w:hint="default"/>
          <w:lang w:val="en-US" w:eastAsia="zh-CN"/>
        </w:rPr>
      </w:pPr>
    </w:p>
    <w:p w14:paraId="6D9E62C7">
      <w:pPr>
        <w:pStyle w:val="2"/>
        <w:rPr>
          <w:rFonts w:hint="default"/>
          <w:lang w:val="en-US" w:eastAsia="zh-CN"/>
        </w:rPr>
      </w:pPr>
    </w:p>
    <w:p w14:paraId="5D49D00C">
      <w:pPr>
        <w:rPr>
          <w:rFonts w:hint="default"/>
          <w:lang w:val="en-US" w:eastAsia="zh-CN"/>
        </w:rPr>
      </w:pPr>
    </w:p>
    <w:p w14:paraId="4B10F566">
      <w:pPr>
        <w:pStyle w:val="2"/>
        <w:rPr>
          <w:rFonts w:hint="default"/>
          <w:lang w:val="en-US" w:eastAsia="zh-CN"/>
        </w:rPr>
      </w:pPr>
    </w:p>
    <w:p w14:paraId="295B32C3">
      <w:pPr>
        <w:rPr>
          <w:rFonts w:hint="default"/>
          <w:lang w:val="en-US" w:eastAsia="zh-CN"/>
        </w:rPr>
      </w:pPr>
    </w:p>
    <w:p w14:paraId="4D98A900">
      <w:pPr>
        <w:pStyle w:val="2"/>
        <w:rPr>
          <w:rFonts w:hint="default"/>
          <w:lang w:val="en-US" w:eastAsia="zh-CN"/>
        </w:rPr>
      </w:pPr>
    </w:p>
    <w:p w14:paraId="155C2A15">
      <w:pPr>
        <w:rPr>
          <w:rFonts w:hint="default"/>
          <w:lang w:val="en-US" w:eastAsia="zh-CN"/>
        </w:rPr>
      </w:pPr>
    </w:p>
    <w:p w14:paraId="1D22EA57">
      <w:pPr>
        <w:pStyle w:val="2"/>
        <w:rPr>
          <w:rFonts w:hint="default"/>
          <w:lang w:val="en-US" w:eastAsia="zh-CN"/>
        </w:rPr>
      </w:pPr>
    </w:p>
    <w:p w14:paraId="2DEBCA73">
      <w:pPr>
        <w:rPr>
          <w:rFonts w:hint="default"/>
          <w:lang w:val="en-US" w:eastAsia="zh-CN"/>
        </w:rPr>
      </w:pPr>
    </w:p>
    <w:p w14:paraId="6D6B13F6">
      <w:pPr>
        <w:pStyle w:val="2"/>
        <w:rPr>
          <w:rFonts w:hint="default"/>
          <w:lang w:val="en-US" w:eastAsia="zh-CN"/>
        </w:rPr>
      </w:pPr>
    </w:p>
    <w:p w14:paraId="30768F18">
      <w:pPr>
        <w:rPr>
          <w:rFonts w:hint="default"/>
          <w:lang w:val="en-US" w:eastAsia="zh-CN"/>
        </w:rPr>
      </w:pPr>
    </w:p>
    <w:p w14:paraId="3A42A0B9">
      <w:pPr>
        <w:pStyle w:val="2"/>
        <w:rPr>
          <w:rFonts w:hint="default"/>
          <w:lang w:val="en-US" w:eastAsia="zh-CN"/>
        </w:rPr>
      </w:pPr>
    </w:p>
    <w:p w14:paraId="7475103A">
      <w:pPr>
        <w:rPr>
          <w:rFonts w:hint="default"/>
          <w:lang w:val="en-US" w:eastAsia="zh-CN"/>
        </w:rPr>
      </w:pPr>
    </w:p>
    <w:p w14:paraId="3F3075F2">
      <w:pPr>
        <w:pStyle w:val="2"/>
        <w:rPr>
          <w:rFonts w:hint="default"/>
          <w:lang w:val="en-US" w:eastAsia="zh-CN"/>
        </w:rPr>
      </w:pPr>
    </w:p>
    <w:p w14:paraId="065E534B">
      <w:pPr>
        <w:rPr>
          <w:rFonts w:hint="default"/>
          <w:lang w:val="en-US" w:eastAsia="zh-CN"/>
        </w:rPr>
      </w:pPr>
    </w:p>
    <w:p w14:paraId="68AF22BD">
      <w:pPr>
        <w:pStyle w:val="2"/>
        <w:rPr>
          <w:rFonts w:hint="default"/>
          <w:lang w:val="en-US" w:eastAsia="zh-CN"/>
        </w:rPr>
      </w:pPr>
    </w:p>
    <w:p w14:paraId="441336D1">
      <w:pPr>
        <w:rPr>
          <w:rFonts w:hint="default"/>
          <w:lang w:val="en-US" w:eastAsia="zh-CN"/>
        </w:rPr>
      </w:pPr>
    </w:p>
    <w:p w14:paraId="017C0946">
      <w:pPr>
        <w:pStyle w:val="2"/>
        <w:rPr>
          <w:rFonts w:hint="default"/>
          <w:lang w:val="en-US" w:eastAsia="zh-CN"/>
        </w:rPr>
      </w:pPr>
    </w:p>
    <w:p w14:paraId="15D0C674">
      <w:pPr>
        <w:rPr>
          <w:rFonts w:hint="default"/>
          <w:lang w:val="en-US" w:eastAsia="zh-CN"/>
        </w:rPr>
      </w:pPr>
    </w:p>
    <w:p w14:paraId="3FAF0D79">
      <w:pPr>
        <w:pStyle w:val="2"/>
        <w:rPr>
          <w:rFonts w:hint="default"/>
          <w:lang w:val="en-US" w:eastAsia="zh-CN"/>
        </w:rPr>
      </w:pPr>
    </w:p>
    <w:p w14:paraId="7672D520">
      <w:pPr>
        <w:rPr>
          <w:rFonts w:hint="default"/>
          <w:lang w:val="en-US" w:eastAsia="zh-CN"/>
        </w:rPr>
      </w:pPr>
    </w:p>
    <w:p w14:paraId="4DECE452">
      <w:pPr>
        <w:pStyle w:val="2"/>
        <w:rPr>
          <w:rFonts w:hint="default"/>
          <w:lang w:val="en-US" w:eastAsia="zh-CN"/>
        </w:rPr>
      </w:pPr>
    </w:p>
    <w:p w14:paraId="124C900D">
      <w:pPr>
        <w:rPr>
          <w:rFonts w:hint="default"/>
          <w:lang w:val="en-US" w:eastAsia="zh-CN"/>
        </w:rPr>
      </w:pPr>
    </w:p>
    <w:p w14:paraId="11F7A73B">
      <w:pPr>
        <w:pStyle w:val="2"/>
        <w:rPr>
          <w:rFonts w:hint="default"/>
          <w:lang w:val="en-US" w:eastAsia="zh-CN"/>
        </w:rPr>
      </w:pPr>
    </w:p>
    <w:p w14:paraId="74A03682">
      <w:pPr>
        <w:rPr>
          <w:rFonts w:hint="default"/>
          <w:lang w:val="en-US" w:eastAsia="zh-CN"/>
        </w:rPr>
      </w:pPr>
    </w:p>
    <w:p w14:paraId="5F33E009">
      <w:pPr>
        <w:pStyle w:val="2"/>
        <w:rPr>
          <w:rFonts w:hint="default"/>
          <w:lang w:val="en-US" w:eastAsia="zh-CN"/>
        </w:rPr>
      </w:pPr>
    </w:p>
    <w:p w14:paraId="2ADBC1BF">
      <w:pPr>
        <w:rPr>
          <w:rFonts w:hint="default"/>
          <w:lang w:val="en-US" w:eastAsia="zh-CN"/>
        </w:rPr>
      </w:pPr>
    </w:p>
    <w:p w14:paraId="660A89A1">
      <w:pPr>
        <w:pStyle w:val="2"/>
        <w:rPr>
          <w:rFonts w:hint="default"/>
          <w:lang w:val="en-US" w:eastAsia="zh-CN"/>
        </w:rPr>
      </w:pPr>
    </w:p>
    <w:p w14:paraId="12BE0B49">
      <w:pPr>
        <w:keepNext w:val="0"/>
        <w:keepLines w:val="0"/>
        <w:pageBreakBefore w:val="0"/>
        <w:widowControl w:val="0"/>
        <w:kinsoku/>
        <w:wordWrap/>
        <w:overflowPunct/>
        <w:topLinePunct w:val="0"/>
        <w:autoSpaceDE/>
        <w:autoSpaceDN/>
        <w:bidi w:val="0"/>
        <w:adjustRightInd/>
        <w:snapToGrid/>
        <w:spacing w:line="560" w:lineRule="exact"/>
        <w:textAlignment w:val="auto"/>
        <w:rPr>
          <w:sz w:val="28"/>
          <w:szCs w:val="28"/>
        </w:rPr>
      </w:pPr>
    </w:p>
    <w:p w14:paraId="49E37DBF">
      <w:pPr>
        <w:spacing w:beforeLines="0" w:afterLines="0" w:line="560" w:lineRule="exact"/>
        <w:rPr>
          <w:rFonts w:hint="default"/>
          <w:sz w:val="28"/>
          <w:szCs w:val="28"/>
          <w:lang w:val="en-US" w:eastAsia="zh-CN"/>
        </w:rPr>
      </w:pPr>
      <w:r>
        <w:rPr>
          <w:rFonts w:hint="eastAsia" w:ascii="仿宋_GB2312" w:hAnsi="仿宋_GB2312" w:eastAsia="仿宋_GB2312"/>
          <w:color w:val="333333"/>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-7620</wp:posOffset>
                </wp:positionV>
                <wp:extent cx="5600700" cy="0"/>
                <wp:effectExtent l="0" t="7620" r="0" b="8255"/>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6pt;height:0pt;width:441pt;z-index:251659264;mso-width-relative:page;mso-height-relative:page;" filled="f" stroked="t" coordsize="21600,21600" o:gfxdata="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Mm4r11QAAAAYBAAAPAAAAAAAAAAEAIAAAACIAAABkcnMvZG93bnJldi54bWxQ&#10;SwECFAAUAAAACACHTuJAfY3AUfoBAADzAwAADgAAAAAAAAABACAAAAAkAQAAZHJzL2Uyb0RvYy54&#10;bWxQSwUGAAAAAAYABgBZAQAAkAUAAAAA&#10;">
                <v:fill on="f" focussize="0,0"/>
                <v:stroke weight="1.25pt" color="#000000" joinstyle="round"/>
                <v:imagedata o:title=""/>
                <o:lock v:ext="edit" aspectratio="f"/>
              </v:line>
            </w:pict>
          </mc:Fallback>
        </mc:AlternateContent>
      </w:r>
      <w:r>
        <w:rPr>
          <w:rFonts w:hint="eastAsia" w:ascii="仿宋_GB2312" w:hAnsi="仿宋_GB2312" w:eastAsia="仿宋_GB2312"/>
          <w:color w:val="333333"/>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388620</wp:posOffset>
                </wp:positionV>
                <wp:extent cx="5600700" cy="0"/>
                <wp:effectExtent l="0" t="7620" r="0" b="8255"/>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0.6pt;height:0pt;width:441pt;z-index:251660288;mso-width-relative:page;mso-height-relative:page;" filled="f" stroked="t" coordsize="21600,21600" o:gfxdata="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Qu5r9UAAAAGAQAADwAAAAAAAAABACAAAAAiAAAAZHJzL2Rvd25yZXYueG1s&#10;UEsBAhQAFAAAAAgAh07iQDCgCxf7AQAA8wMAAA4AAAAAAAAAAQAgAAAAJAEAAGRycy9lMm9Eb2Mu&#10;eG1sUEsFBgAAAAAGAAYAWQEAAJEFAAAAAA==&#10;">
                <v:fill on="f" focussize="0,0"/>
                <v:stroke weight="1.25pt" color="#000000" joinstyle="round"/>
                <v:imagedata o:title=""/>
                <o:lock v:ext="edit" aspectratio="f"/>
              </v:line>
            </w:pict>
          </mc:Fallback>
        </mc:AlternateContent>
      </w:r>
      <w:r>
        <w:rPr>
          <w:rFonts w:hint="eastAsia" w:ascii="仿宋_GB2312" w:hAnsi="仿宋" w:eastAsia="仿宋_GB2312"/>
          <w:b/>
          <w:sz w:val="28"/>
          <w:szCs w:val="28"/>
        </w:rPr>
        <w:t xml:space="preserve"> </w:t>
      </w:r>
      <w:r>
        <w:rPr>
          <w:rFonts w:hint="eastAsia" w:ascii="仿宋_GB2312" w:hAnsi="仿宋" w:eastAsia="仿宋_GB2312"/>
          <w:sz w:val="28"/>
          <w:szCs w:val="28"/>
        </w:rPr>
        <w:t xml:space="preserve"> 高阳县人民政府办公室     </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 xml:space="preserve">  </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 xml:space="preserve"> </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 xml:space="preserve"> </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 xml:space="preserve"> </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 xml:space="preserve"> 20</w:t>
      </w:r>
      <w:r>
        <w:rPr>
          <w:rFonts w:hint="eastAsia" w:ascii="仿宋_GB2312" w:hAnsi="仿宋" w:eastAsia="仿宋_GB2312"/>
          <w:sz w:val="28"/>
          <w:szCs w:val="28"/>
          <w:lang w:val="en-US" w:eastAsia="zh-CN"/>
        </w:rPr>
        <w:t>26</w:t>
      </w:r>
      <w:r>
        <w:rPr>
          <w:rFonts w:hint="eastAsia" w:ascii="仿宋_GB2312" w:hAnsi="仿宋" w:eastAsia="仿宋_GB2312"/>
          <w:sz w:val="28"/>
          <w:szCs w:val="28"/>
        </w:rPr>
        <w:t>年</w:t>
      </w:r>
      <w:r>
        <w:rPr>
          <w:rFonts w:hint="eastAsia" w:ascii="仿宋_GB2312" w:hAnsi="仿宋" w:eastAsia="仿宋_GB2312"/>
          <w:sz w:val="28"/>
          <w:szCs w:val="28"/>
          <w:lang w:val="en-US" w:eastAsia="zh-CN"/>
        </w:rPr>
        <w:t>5</w:t>
      </w:r>
      <w:r>
        <w:rPr>
          <w:rFonts w:hint="eastAsia" w:ascii="仿宋_GB2312" w:hAnsi="仿宋" w:eastAsia="仿宋_GB2312"/>
          <w:sz w:val="28"/>
          <w:szCs w:val="28"/>
        </w:rPr>
        <w:t>月</w:t>
      </w:r>
      <w:r>
        <w:rPr>
          <w:rFonts w:hint="eastAsia" w:ascii="仿宋_GB2312" w:hAnsi="仿宋" w:eastAsia="仿宋_GB2312"/>
          <w:sz w:val="28"/>
          <w:szCs w:val="28"/>
          <w:lang w:val="en-US" w:eastAsia="zh-CN"/>
        </w:rPr>
        <w:t>6</w:t>
      </w:r>
      <w:r>
        <w:rPr>
          <w:rFonts w:hint="eastAsia" w:ascii="仿宋_GB2312" w:hAnsi="仿宋" w:eastAsia="仿宋_GB2312"/>
          <w:sz w:val="28"/>
          <w:szCs w:val="28"/>
        </w:rPr>
        <w:t xml:space="preserve">日印发  </w:t>
      </w:r>
    </w:p>
    <w:p w14:paraId="483CA955">
      <w:pPr>
        <w:pStyle w:val="13"/>
        <w:keepNext w:val="0"/>
        <w:keepLines w:val="0"/>
        <w:pageBreakBefore w:val="0"/>
        <w:widowControl/>
        <w:kinsoku/>
        <w:wordWrap/>
        <w:overflowPunct/>
        <w:topLinePunct w:val="0"/>
        <w:autoSpaceDE/>
        <w:autoSpaceDN/>
        <w:bidi w:val="0"/>
        <w:adjustRightInd/>
        <w:snapToGrid/>
        <w:spacing w:line="20" w:lineRule="exact"/>
        <w:ind w:left="0" w:leftChars="0" w:firstLine="0" w:firstLineChars="0"/>
        <w:textAlignment w:val="auto"/>
        <w:rPr>
          <w:rFonts w:hint="eastAsia"/>
          <w:lang w:val="en-US" w:eastAsia="zh-CN"/>
        </w:rPr>
      </w:pPr>
    </w:p>
    <w:sectPr>
      <w:footerReference r:id="rId4" w:type="default"/>
      <w:pgSz w:w="11906" w:h="16838"/>
      <w:pgMar w:top="1984" w:right="1417" w:bottom="158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9D17C">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CAF7F4">
                          <w:pPr>
                            <w:pStyle w:val="8"/>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6CAF7F4">
                    <w:pPr>
                      <w:pStyle w:val="8"/>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9DCDBF">
                          <w:pPr>
                            <w:pStyle w:val="8"/>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39DCDBF">
                    <w:pPr>
                      <w:pStyle w:val="8"/>
                      <w:rPr>
                        <w:rFonts w:hint="eastAsia" w:ascii="宋体" w:hAnsi="宋体" w:eastAsia="宋体" w:cs="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F241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FA4BC0">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FA4BC0">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B58EA7"/>
    <w:multiLevelType w:val="singleLevel"/>
    <w:tmpl w:val="43B58EA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19"/>
  <w:hyphenationZone w:val="360"/>
  <w:drawingGridVerticalSpacing w:val="297"/>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jOTMzMWQ4M2IwYTk1MGVjMDZmNWY4ZGNkNjA3MjcifQ=="/>
  </w:docVars>
  <w:rsids>
    <w:rsidRoot w:val="00EC30D5"/>
    <w:rsid w:val="00195082"/>
    <w:rsid w:val="0027752A"/>
    <w:rsid w:val="003A58CE"/>
    <w:rsid w:val="003C2F5D"/>
    <w:rsid w:val="00570358"/>
    <w:rsid w:val="00601E4E"/>
    <w:rsid w:val="006D0B1F"/>
    <w:rsid w:val="00726C4E"/>
    <w:rsid w:val="007D43C5"/>
    <w:rsid w:val="007E622B"/>
    <w:rsid w:val="009904CD"/>
    <w:rsid w:val="00A071C3"/>
    <w:rsid w:val="00A40CE0"/>
    <w:rsid w:val="00A53FC8"/>
    <w:rsid w:val="00A82574"/>
    <w:rsid w:val="00B91D57"/>
    <w:rsid w:val="00C47226"/>
    <w:rsid w:val="00CB67AF"/>
    <w:rsid w:val="00CE69A7"/>
    <w:rsid w:val="00D12428"/>
    <w:rsid w:val="00D95159"/>
    <w:rsid w:val="00DC56C8"/>
    <w:rsid w:val="00EC30D5"/>
    <w:rsid w:val="00F33B6C"/>
    <w:rsid w:val="00F37042"/>
    <w:rsid w:val="03655CA8"/>
    <w:rsid w:val="037800D1"/>
    <w:rsid w:val="03975F36"/>
    <w:rsid w:val="03E4576F"/>
    <w:rsid w:val="03E80687"/>
    <w:rsid w:val="054125E0"/>
    <w:rsid w:val="06935222"/>
    <w:rsid w:val="07856654"/>
    <w:rsid w:val="085E53BC"/>
    <w:rsid w:val="0938261D"/>
    <w:rsid w:val="09C733B2"/>
    <w:rsid w:val="0AE05EDC"/>
    <w:rsid w:val="0F7B5E4C"/>
    <w:rsid w:val="0FF52AA9"/>
    <w:rsid w:val="101D2545"/>
    <w:rsid w:val="10C34956"/>
    <w:rsid w:val="12D06EB6"/>
    <w:rsid w:val="14E31122"/>
    <w:rsid w:val="15A9236C"/>
    <w:rsid w:val="15BD5E17"/>
    <w:rsid w:val="16726C02"/>
    <w:rsid w:val="17691133"/>
    <w:rsid w:val="185C36C6"/>
    <w:rsid w:val="187529D9"/>
    <w:rsid w:val="18B62CE1"/>
    <w:rsid w:val="19384B77"/>
    <w:rsid w:val="196C5B8A"/>
    <w:rsid w:val="1AC458E7"/>
    <w:rsid w:val="1C844F99"/>
    <w:rsid w:val="1D557C9F"/>
    <w:rsid w:val="1ED32208"/>
    <w:rsid w:val="21311F81"/>
    <w:rsid w:val="216655B5"/>
    <w:rsid w:val="235945D2"/>
    <w:rsid w:val="24AF7273"/>
    <w:rsid w:val="24D1095F"/>
    <w:rsid w:val="259A1C3E"/>
    <w:rsid w:val="260F1981"/>
    <w:rsid w:val="27F140E5"/>
    <w:rsid w:val="284303FE"/>
    <w:rsid w:val="2A2F7769"/>
    <w:rsid w:val="2A7C7BF7"/>
    <w:rsid w:val="2B3434A5"/>
    <w:rsid w:val="2D45196A"/>
    <w:rsid w:val="2DBA2F11"/>
    <w:rsid w:val="2DBD030B"/>
    <w:rsid w:val="2E70537D"/>
    <w:rsid w:val="2FC242FE"/>
    <w:rsid w:val="303348B4"/>
    <w:rsid w:val="34034EE6"/>
    <w:rsid w:val="34FA3BF3"/>
    <w:rsid w:val="35AE2C2F"/>
    <w:rsid w:val="36C344B8"/>
    <w:rsid w:val="37340FC0"/>
    <w:rsid w:val="377A101B"/>
    <w:rsid w:val="377F453F"/>
    <w:rsid w:val="378105FB"/>
    <w:rsid w:val="39A84565"/>
    <w:rsid w:val="3C504BF3"/>
    <w:rsid w:val="3CE33B06"/>
    <w:rsid w:val="3D5B369C"/>
    <w:rsid w:val="3E5A3DDA"/>
    <w:rsid w:val="3F3441A5"/>
    <w:rsid w:val="3F76780C"/>
    <w:rsid w:val="3F777B00"/>
    <w:rsid w:val="3FB47094"/>
    <w:rsid w:val="3FC1012F"/>
    <w:rsid w:val="3FCE0156"/>
    <w:rsid w:val="3FE02DC3"/>
    <w:rsid w:val="41277662"/>
    <w:rsid w:val="413933CB"/>
    <w:rsid w:val="41BD2B78"/>
    <w:rsid w:val="479C6D8B"/>
    <w:rsid w:val="48162122"/>
    <w:rsid w:val="4820176A"/>
    <w:rsid w:val="4935337F"/>
    <w:rsid w:val="49DC7913"/>
    <w:rsid w:val="4AAE718D"/>
    <w:rsid w:val="4B971D44"/>
    <w:rsid w:val="4BAB0717"/>
    <w:rsid w:val="4D263354"/>
    <w:rsid w:val="4EEF4E65"/>
    <w:rsid w:val="50811214"/>
    <w:rsid w:val="51134562"/>
    <w:rsid w:val="51EE0B2B"/>
    <w:rsid w:val="53437CA3"/>
    <w:rsid w:val="54F975CB"/>
    <w:rsid w:val="55CA0F67"/>
    <w:rsid w:val="56D57BC4"/>
    <w:rsid w:val="58E67606"/>
    <w:rsid w:val="59851D75"/>
    <w:rsid w:val="59EC5950"/>
    <w:rsid w:val="5B1E3B05"/>
    <w:rsid w:val="5C5804DA"/>
    <w:rsid w:val="5D015BB7"/>
    <w:rsid w:val="5D775FF9"/>
    <w:rsid w:val="5E4915C3"/>
    <w:rsid w:val="5F29715B"/>
    <w:rsid w:val="5FFA5D5D"/>
    <w:rsid w:val="608F5287"/>
    <w:rsid w:val="60E44729"/>
    <w:rsid w:val="60EC4488"/>
    <w:rsid w:val="61097779"/>
    <w:rsid w:val="6514066D"/>
    <w:rsid w:val="65671CB6"/>
    <w:rsid w:val="686B482C"/>
    <w:rsid w:val="69152AE6"/>
    <w:rsid w:val="6A10568B"/>
    <w:rsid w:val="6A116D0D"/>
    <w:rsid w:val="6D8D1723"/>
    <w:rsid w:val="6DC347C2"/>
    <w:rsid w:val="6F7F4719"/>
    <w:rsid w:val="6FE24C23"/>
    <w:rsid w:val="704166C7"/>
    <w:rsid w:val="71B608C6"/>
    <w:rsid w:val="72AF164B"/>
    <w:rsid w:val="73E7154A"/>
    <w:rsid w:val="7533222E"/>
    <w:rsid w:val="76143E0D"/>
    <w:rsid w:val="764364A0"/>
    <w:rsid w:val="76874B34"/>
    <w:rsid w:val="77444BC6"/>
    <w:rsid w:val="785E75C1"/>
    <w:rsid w:val="786B6007"/>
    <w:rsid w:val="790C1713"/>
    <w:rsid w:val="79F1106F"/>
    <w:rsid w:val="7A6C792A"/>
    <w:rsid w:val="7A8D1459"/>
    <w:rsid w:val="7AD26045"/>
    <w:rsid w:val="7B8E3697"/>
    <w:rsid w:val="7C5807CC"/>
    <w:rsid w:val="7CC85951"/>
    <w:rsid w:val="7CD460A4"/>
    <w:rsid w:val="7E5F3225"/>
    <w:rsid w:val="7EC65EC0"/>
    <w:rsid w:val="7F141322"/>
    <w:rsid w:val="7F5D4081"/>
    <w:rsid w:val="7F8C287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next w:val="1"/>
    <w:qFormat/>
    <w:uiPriority w:val="0"/>
    <w:pPr>
      <w:keepNext/>
      <w:keepLines/>
      <w:widowControl w:val="0"/>
      <w:spacing w:line="360" w:lineRule="auto"/>
      <w:ind w:firstLine="792" w:firstLineChars="200"/>
      <w:jc w:val="both"/>
      <w:outlineLvl w:val="1"/>
    </w:pPr>
    <w:rPr>
      <w:rFonts w:ascii="Calibri Light" w:hAnsi="Calibri Light" w:eastAsia="黑体" w:cs="宋体"/>
      <w:b/>
      <w:bCs/>
      <w:kern w:val="2"/>
      <w:sz w:val="32"/>
      <w:szCs w:val="32"/>
      <w:lang w:val="en-US" w:eastAsia="zh-CN" w:bidi="ar-SA"/>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autoSpaceDE w:val="0"/>
      <w:autoSpaceDN w:val="0"/>
      <w:jc w:val="left"/>
    </w:pPr>
    <w:rPr>
      <w:rFonts w:ascii="宋体" w:hAnsi="宋体" w:cs="宋体"/>
      <w:kern w:val="0"/>
      <w:sz w:val="29"/>
      <w:szCs w:val="29"/>
      <w:lang w:val="zh-CN" w:bidi="zh-CN"/>
    </w:rPr>
  </w:style>
  <w:style w:type="paragraph" w:styleId="5">
    <w:name w:val="Body Text Indent"/>
    <w:basedOn w:val="1"/>
    <w:next w:val="1"/>
    <w:qFormat/>
    <w:uiPriority w:val="0"/>
    <w:pPr>
      <w:widowControl/>
      <w:spacing w:line="510" w:lineRule="exact"/>
      <w:ind w:firstLine="200" w:firstLineChars="200"/>
      <w:jc w:val="left"/>
    </w:pPr>
    <w:rPr>
      <w:rFonts w:ascii="仿宋_GB2312" w:eastAsia="仿宋_GB2312"/>
      <w:kern w:val="0"/>
      <w:sz w:val="32"/>
    </w:rPr>
  </w:style>
  <w:style w:type="paragraph" w:styleId="6">
    <w:name w:val="Plain Text"/>
    <w:basedOn w:val="1"/>
    <w:qFormat/>
    <w:uiPriority w:val="99"/>
    <w:rPr>
      <w:rFonts w:ascii="宋体" w:hAnsi="Courier New"/>
      <w:kern w:val="0"/>
      <w:szCs w:val="21"/>
    </w:rPr>
  </w:style>
  <w:style w:type="paragraph" w:styleId="7">
    <w:name w:val="Balloon Text"/>
    <w:basedOn w:val="1"/>
    <w:link w:val="18"/>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index 9"/>
    <w:basedOn w:val="1"/>
    <w:next w:val="1"/>
    <w:qFormat/>
    <w:uiPriority w:val="0"/>
    <w:pPr>
      <w:ind w:left="3360"/>
      <w:jc w:val="left"/>
    </w:pPr>
    <w:rPr>
      <w:rFonts w:ascii="Times New Roman" w:hAnsi="Times New Roman" w:eastAsia="宋体" w:cs="Times New Roman"/>
    </w:rPr>
  </w:style>
  <w:style w:type="paragraph" w:styleId="11">
    <w:name w:val="toc 2"/>
    <w:basedOn w:val="1"/>
    <w:next w:val="1"/>
    <w:qFormat/>
    <w:uiPriority w:val="99"/>
    <w:pPr>
      <w:ind w:left="420" w:leftChars="2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5"/>
    <w:next w:val="1"/>
    <w:qFormat/>
    <w:uiPriority w:val="0"/>
    <w:rPr>
      <w:rFonts w:ascii="Calibri" w:hAnsi="Calibri"/>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qFormat/>
    <w:uiPriority w:val="0"/>
    <w:rPr>
      <w:color w:val="0000FF"/>
      <w:u w:val="single"/>
    </w:rPr>
  </w:style>
  <w:style w:type="character" w:customStyle="1" w:styleId="18">
    <w:name w:val="批注框文本 Char"/>
    <w:basedOn w:val="16"/>
    <w:link w:val="7"/>
    <w:qFormat/>
    <w:uiPriority w:val="0"/>
    <w:rPr>
      <w:kern w:val="2"/>
      <w:sz w:val="18"/>
      <w:szCs w:val="18"/>
    </w:rPr>
  </w:style>
  <w:style w:type="paragraph" w:customStyle="1" w:styleId="19">
    <w:name w:val="正文1"/>
    <w:next w:val="20"/>
    <w:qFormat/>
    <w:uiPriority w:val="0"/>
    <w:pPr>
      <w:widowControl w:val="0"/>
      <w:suppressAutoHyphens w:val="0"/>
      <w:bidi w:val="0"/>
      <w:spacing w:before="0" w:after="0"/>
      <w:jc w:val="both"/>
    </w:pPr>
    <w:rPr>
      <w:rFonts w:ascii="Calibri" w:hAnsi="Calibri" w:eastAsia="宋体" w:cs="Times New Roman"/>
      <w:color w:val="auto"/>
      <w:kern w:val="2"/>
      <w:sz w:val="21"/>
      <w:szCs w:val="24"/>
      <w:lang w:val="en-US" w:eastAsia="zh-CN" w:bidi="ar-SA"/>
    </w:rPr>
  </w:style>
  <w:style w:type="paragraph" w:customStyle="1" w:styleId="20">
    <w:name w:val="目录 21"/>
    <w:basedOn w:val="19"/>
    <w:next w:val="1"/>
    <w:semiHidden/>
    <w:qFormat/>
    <w:uiPriority w:val="0"/>
    <w:pPr>
      <w:ind w:left="420" w:firstLine="0"/>
    </w:pPr>
  </w:style>
  <w:style w:type="table" w:customStyle="1" w:styleId="21">
    <w:name w:val="Table Normal"/>
    <w:unhideWhenUsed/>
    <w:qFormat/>
    <w:uiPriority w:val="0"/>
    <w:tblPr>
      <w:tblCellMar>
        <w:top w:w="0" w:type="dxa"/>
        <w:left w:w="0" w:type="dxa"/>
        <w:bottom w:w="0" w:type="dxa"/>
        <w:right w:w="0" w:type="dxa"/>
      </w:tblCellMar>
    </w:tblPr>
  </w:style>
  <w:style w:type="paragraph" w:customStyle="1" w:styleId="22">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3381</Words>
  <Characters>3438</Characters>
  <Lines>2</Lines>
  <Paragraphs>1</Paragraphs>
  <TotalTime>97</TotalTime>
  <ScaleCrop>false</ScaleCrop>
  <LinksUpToDate>false</LinksUpToDate>
  <CharactersWithSpaces>3556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2018-02-11T08:30:00Z</dcterms:created>
  <dc:creator>微软用户</dc:creator>
  <cp:lastModifiedBy>郝思含</cp:lastModifiedBy>
  <cp:lastPrinted>2026-05-06T07:55:00Z</cp:lastPrinted>
  <dcterms:modified xsi:type="dcterms:W3CDTF">2026-09-07T02:39:19Z</dcterms:modified>
  <dc:title>高阳县人民政府办公室</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2D95F266F4D345DA91C8C09058A39F38_13</vt:lpwstr>
  </property>
  <property fmtid="{D5CDD505-2E9C-101B-9397-08002B2CF9AE}" pid="4" name="KSOTemplateDocerSaveRecord">
    <vt:lpwstr>eyJoZGlkIjoiMzM5OGY1ZGU4YWRlMzcyNjdiYWI1ZjUyMjUzOThmODkiLCJ1c2VySWQiOiI3MzYyNTcyNTIifQ==</vt:lpwstr>
  </property>
</Properties>
</file>