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DCDD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方正小标宋简体" w:hAnsi="方正小标宋简体" w:eastAsia="方正小标宋简体" w:cs="方正小标宋简体"/>
          <w:sz w:val="32"/>
          <w:szCs w:val="32"/>
          <w:lang w:eastAsia="zh-CN"/>
        </w:rPr>
      </w:pPr>
    </w:p>
    <w:p w14:paraId="0053F1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2"/>
          <w:szCs w:val="32"/>
          <w:lang w:eastAsia="zh-CN"/>
        </w:rPr>
      </w:pPr>
    </w:p>
    <w:p w14:paraId="5D219B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469" w:afterLines="15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2"/>
          <w:szCs w:val="32"/>
          <w:lang w:eastAsia="zh-CN"/>
        </w:rPr>
      </w:pPr>
    </w:p>
    <w:p w14:paraId="24A38C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line="560" w:lineRule="exact"/>
        <w:jc w:val="center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高城执字[2026]42号</w:t>
      </w:r>
    </w:p>
    <w:p w14:paraId="219C87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高阳县城市管理综合行政执法局</w:t>
      </w:r>
    </w:p>
    <w:p w14:paraId="385049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2026年度“双随机”抽查方案</w:t>
      </w:r>
    </w:p>
    <w:p w14:paraId="4D411F25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</w:pPr>
    </w:p>
    <w:p w14:paraId="14562E6E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  <w:t>为深入贯彻落实国务院、省政府、市政府</w:t>
      </w:r>
      <w:r>
        <w:rPr>
          <w:rFonts w:hint="eastAsia" w:eastAsia="仿宋_GB2312" w:cs="Times New Roman"/>
          <w:color w:val="auto"/>
          <w:kern w:val="0"/>
          <w:sz w:val="32"/>
          <w:szCs w:val="32"/>
          <w:lang w:val="en-US" w:eastAsia="zh-CN" w:bidi="ar-SA"/>
        </w:rPr>
        <w:t>、县政府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  <w:t>关于严格规范涉企行政检查工作部署要求，优化营商环境，持续强化“双随机、一公开”监管全覆盖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  <w:t>常态化，提升监管效能，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进一步规范行政执法检查行为，为我县营造良好的经济发展环境，根据《关于严格规范涉企行政检查的实施方案的通知》等文件要求</w:t>
      </w:r>
      <w:r>
        <w:rPr>
          <w:rFonts w:hint="eastAsia" w:ascii="仿宋" w:hAnsi="仿宋" w:eastAsia="仿宋" w:cs="仿宋"/>
          <w:sz w:val="32"/>
          <w:szCs w:val="32"/>
        </w:rPr>
        <w:t>，结合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我局</w:t>
      </w:r>
      <w:r>
        <w:rPr>
          <w:rFonts w:hint="eastAsia" w:ascii="仿宋" w:hAnsi="仿宋" w:eastAsia="仿宋" w:cs="仿宋"/>
          <w:sz w:val="32"/>
          <w:szCs w:val="32"/>
        </w:rPr>
        <w:t>工作实际，特制定202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sz w:val="32"/>
          <w:szCs w:val="32"/>
        </w:rPr>
        <w:t>年“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双随机、一公开</w:t>
      </w:r>
      <w:r>
        <w:rPr>
          <w:rFonts w:hint="eastAsia" w:ascii="仿宋" w:hAnsi="仿宋" w:eastAsia="仿宋" w:cs="仿宋"/>
          <w:sz w:val="32"/>
          <w:szCs w:val="32"/>
        </w:rPr>
        <w:t>”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抽查计划。</w:t>
      </w:r>
    </w:p>
    <w:p w14:paraId="5C4BA6F7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40" w:lineRule="exact"/>
        <w:ind w:firstLine="643" w:firstLineChars="200"/>
        <w:textAlignment w:val="auto"/>
        <w:rPr>
          <w:rFonts w:hint="eastAsia" w:ascii="黑体" w:hAnsi="黑体" w:eastAsia="黑体" w:cs="黑体"/>
          <w:b/>
          <w:bCs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sz w:val="32"/>
          <w:szCs w:val="32"/>
        </w:rPr>
        <w:t>一、指导思想</w:t>
      </w:r>
    </w:p>
    <w:p w14:paraId="47ACB451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大力推广“随机抽取检查对象、随机选派检查人员”的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“双随机、一公开”抽</w:t>
      </w:r>
      <w:r>
        <w:rPr>
          <w:rFonts w:hint="eastAsia" w:ascii="仿宋" w:hAnsi="仿宋" w:eastAsia="仿宋" w:cs="仿宋"/>
          <w:sz w:val="32"/>
          <w:szCs w:val="32"/>
        </w:rPr>
        <w:t>查机制，规范监管行为，强化市场主体自律和社会监督。着力解决群众反映强烈的突出问题，提高监管效能，激发市场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活力</w:t>
      </w:r>
      <w:r>
        <w:rPr>
          <w:rFonts w:hint="eastAsia" w:ascii="仿宋" w:hAnsi="仿宋" w:eastAsia="仿宋" w:cs="仿宋"/>
          <w:sz w:val="32"/>
          <w:szCs w:val="32"/>
        </w:rPr>
        <w:t>。</w:t>
      </w:r>
    </w:p>
    <w:p w14:paraId="0DBAF3C7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40" w:lineRule="exact"/>
        <w:ind w:firstLine="643" w:firstLineChars="200"/>
        <w:textAlignment w:val="auto"/>
        <w:rPr>
          <w:rFonts w:hint="eastAsia" w:ascii="黑体" w:hAnsi="黑体" w:eastAsia="黑体" w:cs="黑体"/>
          <w:b/>
          <w:bCs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eastAsia="zh-CN"/>
        </w:rPr>
        <w:t>二、</w:t>
      </w:r>
      <w:r>
        <w:rPr>
          <w:rFonts w:hint="eastAsia" w:ascii="黑体" w:hAnsi="黑体" w:eastAsia="黑体" w:cs="黑体"/>
          <w:b/>
          <w:bCs/>
          <w:sz w:val="32"/>
          <w:szCs w:val="32"/>
        </w:rPr>
        <w:t>工作原则</w:t>
      </w:r>
    </w:p>
    <w:p w14:paraId="79655AD6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40" w:lineRule="exact"/>
        <w:ind w:firstLine="643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eastAsia="zh-CN"/>
        </w:rPr>
        <w:t>（一）依法实施。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严格执行相关法律、行政法规和规章，规范执法行为，确保“双随机、一公开”工作顺利进行。</w:t>
      </w:r>
    </w:p>
    <w:p w14:paraId="1E611A3E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40" w:lineRule="exact"/>
        <w:ind w:firstLine="643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eastAsia="zh-CN"/>
        </w:rPr>
        <w:t>（二）公正高效。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坚持规范文明执法，我们要讲究抽查方法、注重公平、兼顾效率、减轻企业负担，优化市场环境。</w:t>
      </w:r>
    </w:p>
    <w:p w14:paraId="6DEFD32B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40" w:lineRule="exact"/>
        <w:ind w:firstLine="643" w:firstLineChars="200"/>
        <w:textAlignment w:val="auto"/>
        <w:rPr>
          <w:rFonts w:hint="default" w:ascii="黑体" w:hAnsi="黑体" w:eastAsia="黑体" w:cs="黑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eastAsia="zh-CN"/>
        </w:rPr>
        <w:t>（三）公开透明。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在阳光下运行执法权力，公开抽查职责、程序、事项、结果等。强化社会监督，切实做到尽职担当。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br w:type="textWrapping"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</w:t>
      </w:r>
      <w:r>
        <w:rPr>
          <w:rFonts w:hint="eastAsia" w:ascii="黑体" w:hAnsi="黑体" w:eastAsia="黑体" w:cs="黑体"/>
          <w:b/>
          <w:bCs/>
          <w:sz w:val="32"/>
          <w:szCs w:val="32"/>
          <w:lang w:eastAsia="zh-CN"/>
        </w:rPr>
        <w:t>三、抽查时间</w:t>
      </w: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及对象</w:t>
      </w:r>
    </w:p>
    <w:p w14:paraId="1F5940AE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2026年10月8日至10月31日对高阳县域内属城市管理执法职能内监管企业，按照信用风险等级分类原则抽取5户。</w:t>
      </w:r>
    </w:p>
    <w:p w14:paraId="0904EF35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40" w:lineRule="exact"/>
        <w:ind w:firstLine="643" w:firstLineChars="200"/>
        <w:textAlignment w:val="auto"/>
        <w:rPr>
          <w:rFonts w:hint="eastAsia" w:ascii="黑体" w:hAnsi="黑体" w:eastAsia="黑体" w:cs="黑体"/>
          <w:b/>
          <w:bCs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eastAsia="zh-CN"/>
        </w:rPr>
        <w:t>四、</w:t>
      </w:r>
      <w:r>
        <w:rPr>
          <w:rFonts w:hint="eastAsia" w:ascii="黑体" w:hAnsi="黑体" w:eastAsia="黑体" w:cs="黑体"/>
          <w:b/>
          <w:bCs/>
          <w:sz w:val="32"/>
          <w:szCs w:val="32"/>
        </w:rPr>
        <w:t>抽查事项</w:t>
      </w:r>
    </w:p>
    <w:p w14:paraId="6D9580C0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40" w:lineRule="exact"/>
        <w:ind w:left="958" w:leftChars="304" w:hanging="320" w:hangingChars="1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（一）关闭、闲置、拆除城市环卫设施许可后的监督检查</w:t>
      </w:r>
    </w:p>
    <w:p w14:paraId="06415C46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40" w:lineRule="exact"/>
        <w:ind w:left="958" w:leftChars="304" w:hanging="320" w:hangingChars="1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（二）设置大型户外广告及城市建筑物、设施上悬挂、张贴宣传品的检查；</w:t>
      </w:r>
    </w:p>
    <w:p w14:paraId="430DC464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（三）特殊车辆在城市道路上行驶（包括经过城市桥梁）审批后的监督检查；</w:t>
      </w:r>
    </w:p>
    <w:p w14:paraId="0BF9C79A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（四）城市建筑垃圾处置核准后的监督检查；</w:t>
      </w:r>
    </w:p>
    <w:p w14:paraId="70503CC9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（五）对已建成运行的垃圾处理设施运营状况和处理效果进行检查；</w:t>
      </w:r>
    </w:p>
    <w:p w14:paraId="61A851FB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（六）临时性建筑物搭建、堆放物料、占道施工审批后的监督检查；</w:t>
      </w:r>
    </w:p>
    <w:p w14:paraId="6F66F019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（七）城市树木移植或砍伐审批后的监管；</w:t>
      </w:r>
    </w:p>
    <w:p w14:paraId="6655F64D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（八）城市生活垃圾及餐厨废弃物处置许可后的监督检查。</w:t>
      </w:r>
    </w:p>
    <w:p w14:paraId="739FFC5F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40" w:lineRule="exact"/>
        <w:ind w:firstLine="643" w:firstLineChars="200"/>
        <w:textAlignment w:val="auto"/>
        <w:rPr>
          <w:rFonts w:hint="eastAsia" w:ascii="黑体" w:hAnsi="黑体" w:eastAsia="黑体" w:cs="黑体"/>
          <w:b/>
          <w:bCs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eastAsia="zh-CN"/>
        </w:rPr>
        <w:t>五、</w:t>
      </w:r>
      <w:r>
        <w:rPr>
          <w:rFonts w:hint="eastAsia" w:ascii="黑体" w:hAnsi="黑体" w:eastAsia="黑体" w:cs="黑体"/>
          <w:b/>
          <w:bCs/>
          <w:sz w:val="32"/>
          <w:szCs w:val="32"/>
        </w:rPr>
        <w:t>工作目标</w:t>
      </w:r>
    </w:p>
    <w:p w14:paraId="2634C922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通过推进行政执法检查“双随机”工作制度化、规范化、信息化，使随机检查成为行政执法机关实施行政执法检查的主要方式。确保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“双随机、一公开”</w:t>
      </w:r>
      <w:r>
        <w:rPr>
          <w:rFonts w:hint="eastAsia" w:ascii="仿宋" w:hAnsi="仿宋" w:eastAsia="仿宋" w:cs="仿宋"/>
          <w:sz w:val="32"/>
          <w:szCs w:val="32"/>
        </w:rPr>
        <w:t>监管全覆盖、常态化、规范化。解决随意检查、重复检查、执法不公等社会反映强烈的问题，营造良好的经济社会发展环境。</w:t>
      </w:r>
    </w:p>
    <w:p w14:paraId="00EFA70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kern w:val="6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60"/>
          <w:sz w:val="32"/>
          <w:szCs w:val="32"/>
        </w:rPr>
        <w:t>（一）</w:t>
      </w:r>
      <w:r>
        <w:rPr>
          <w:rFonts w:hint="eastAsia" w:ascii="仿宋_GB2312" w:hAnsi="仿宋_GB2312" w:eastAsia="仿宋_GB2312" w:cs="仿宋_GB2312"/>
          <w:color w:val="auto"/>
          <w:kern w:val="60"/>
          <w:sz w:val="32"/>
          <w:szCs w:val="32"/>
          <w:lang w:eastAsia="zh-CN"/>
        </w:rPr>
        <w:t>完善工作机制，提升抽查工作规范化水平；</w:t>
      </w:r>
    </w:p>
    <w:p w14:paraId="005066C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snapToGrid w:val="0"/>
          <w:color w:val="auto"/>
          <w:spacing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60"/>
          <w:sz w:val="32"/>
          <w:szCs w:val="32"/>
        </w:rPr>
        <w:t>（二）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60"/>
          <w:sz w:val="32"/>
          <w:szCs w:val="32"/>
          <w:lang w:eastAsia="zh-CN"/>
        </w:rPr>
        <w:t>强化部门联合，提升联合抽查的地位和作用</w:t>
      </w:r>
      <w:r>
        <w:rPr>
          <w:rFonts w:hint="eastAsia" w:ascii="仿宋_GB2312" w:hAnsi="仿宋_GB2312" w:eastAsia="仿宋_GB2312" w:cs="仿宋_GB2312"/>
          <w:b w:val="0"/>
          <w:bCs w:val="0"/>
          <w:snapToGrid w:val="0"/>
          <w:color w:val="auto"/>
          <w:spacing w:val="0"/>
          <w:sz w:val="32"/>
          <w:szCs w:val="32"/>
          <w:lang w:eastAsia="zh-CN"/>
        </w:rPr>
        <w:t>；</w:t>
      </w:r>
    </w:p>
    <w:p w14:paraId="4062DDC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kern w:val="6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60"/>
          <w:sz w:val="32"/>
          <w:szCs w:val="32"/>
        </w:rPr>
        <w:t>（三）</w:t>
      </w:r>
      <w:r>
        <w:rPr>
          <w:rFonts w:hint="eastAsia" w:ascii="仿宋_GB2312" w:hAnsi="仿宋_GB2312" w:eastAsia="仿宋_GB2312" w:cs="仿宋_GB2312"/>
          <w:color w:val="auto"/>
          <w:kern w:val="60"/>
          <w:sz w:val="32"/>
          <w:szCs w:val="32"/>
          <w:lang w:eastAsia="zh-CN"/>
        </w:rPr>
        <w:t>实施差异化监管，提升监管执法效能；</w:t>
      </w:r>
    </w:p>
    <w:p w14:paraId="35499E8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pacing w:val="-6"/>
          <w:kern w:val="6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60"/>
          <w:sz w:val="32"/>
          <w:szCs w:val="32"/>
        </w:rPr>
        <w:t>（四）</w:t>
      </w:r>
      <w:r>
        <w:rPr>
          <w:rFonts w:hint="eastAsia" w:ascii="仿宋_GB2312" w:hAnsi="仿宋_GB2312" w:eastAsia="仿宋_GB2312" w:cs="仿宋_GB2312"/>
          <w:color w:val="auto"/>
          <w:kern w:val="60"/>
          <w:sz w:val="32"/>
          <w:szCs w:val="32"/>
          <w:lang w:eastAsia="zh-CN"/>
        </w:rPr>
        <w:t>完善工作流程，实现抽查工作的闭环管理</w:t>
      </w:r>
      <w:r>
        <w:rPr>
          <w:rFonts w:hint="eastAsia" w:ascii="仿宋_GB2312" w:hAnsi="仿宋_GB2312" w:eastAsia="仿宋_GB2312" w:cs="仿宋_GB2312"/>
          <w:color w:val="auto"/>
          <w:spacing w:val="-6"/>
          <w:kern w:val="60"/>
          <w:sz w:val="32"/>
          <w:szCs w:val="32"/>
          <w:lang w:eastAsia="zh-CN"/>
        </w:rPr>
        <w:t>；</w:t>
      </w:r>
    </w:p>
    <w:p w14:paraId="474AE8E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color w:val="FF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kern w:val="60"/>
          <w:sz w:val="32"/>
          <w:szCs w:val="32"/>
          <w:lang w:eastAsia="zh-CN"/>
        </w:rPr>
        <w:t>（五）开展督查考核，提升工作质效。</w:t>
      </w:r>
    </w:p>
    <w:p w14:paraId="3AD6C1A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napToGrid/>
        <w:spacing w:line="540" w:lineRule="exact"/>
        <w:ind w:firstLine="643" w:firstLineChars="200"/>
        <w:textAlignment w:val="auto"/>
        <w:rPr>
          <w:rFonts w:hint="eastAsia" w:ascii="黑体" w:hAnsi="黑体" w:eastAsia="黑体" w:cs="黑体"/>
          <w:b/>
          <w:bCs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eastAsia="zh-CN"/>
        </w:rPr>
        <w:t>六、</w:t>
      </w:r>
      <w:r>
        <w:rPr>
          <w:rFonts w:hint="eastAsia" w:ascii="黑体" w:hAnsi="黑体" w:eastAsia="黑体" w:cs="黑体"/>
          <w:b/>
          <w:bCs/>
          <w:sz w:val="32"/>
          <w:szCs w:val="32"/>
        </w:rPr>
        <w:t>工作任务</w:t>
      </w:r>
    </w:p>
    <w:p w14:paraId="0366F992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40" w:lineRule="exact"/>
        <w:ind w:firstLine="643" w:firstLineChars="200"/>
        <w:textAlignment w:val="auto"/>
        <w:rPr>
          <w:rFonts w:hint="eastAsia" w:ascii="楷体" w:hAnsi="楷体" w:eastAsia="楷体" w:cs="楷体"/>
          <w:b/>
          <w:bCs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sz w:val="32"/>
          <w:szCs w:val="32"/>
        </w:rPr>
        <w:t>(</w:t>
      </w:r>
      <w:r>
        <w:rPr>
          <w:rFonts w:hint="eastAsia" w:ascii="楷体" w:hAnsi="楷体" w:eastAsia="楷体" w:cs="楷体"/>
          <w:b/>
          <w:bCs/>
          <w:sz w:val="32"/>
          <w:szCs w:val="32"/>
          <w:lang w:eastAsia="zh-CN"/>
        </w:rPr>
        <w:t>一</w:t>
      </w:r>
      <w:r>
        <w:rPr>
          <w:rFonts w:hint="eastAsia" w:ascii="楷体" w:hAnsi="楷体" w:eastAsia="楷体" w:cs="楷体"/>
          <w:b/>
          <w:bCs/>
          <w:sz w:val="32"/>
          <w:szCs w:val="32"/>
        </w:rPr>
        <w:t>)</w:t>
      </w:r>
      <w:r>
        <w:rPr>
          <w:rFonts w:hint="eastAsia" w:ascii="楷体" w:hAnsi="楷体" w:eastAsia="楷体" w:cs="楷体"/>
          <w:b/>
          <w:bCs/>
          <w:sz w:val="32"/>
          <w:szCs w:val="32"/>
          <w:lang w:eastAsia="zh-CN"/>
        </w:rPr>
        <w:t>持续完善监管平台功能。</w:t>
      </w:r>
      <w:r>
        <w:rPr>
          <w:rFonts w:hint="eastAsia" w:ascii="仿宋_GB2312" w:hAnsi="仿宋_GB2312" w:eastAsia="仿宋_GB2312" w:cs="仿宋_GB2312"/>
          <w:color w:val="auto"/>
          <w:kern w:val="60"/>
          <w:sz w:val="32"/>
          <w:szCs w:val="32"/>
          <w:lang w:eastAsia="zh-CN"/>
        </w:rPr>
        <w:t>依托</w:t>
      </w:r>
      <w:r>
        <w:rPr>
          <w:rFonts w:hint="eastAsia" w:ascii="仿宋_GB2312" w:hAnsi="仿宋_GB2312" w:eastAsia="仿宋_GB2312" w:cs="仿宋_GB2312"/>
          <w:color w:val="auto"/>
          <w:kern w:val="60"/>
          <w:sz w:val="32"/>
          <w:szCs w:val="32"/>
        </w:rPr>
        <w:t>河北省双随机</w:t>
      </w:r>
      <w:r>
        <w:rPr>
          <w:rFonts w:hint="eastAsia" w:ascii="仿宋_GB2312" w:hAnsi="仿宋_GB2312" w:eastAsia="仿宋_GB2312" w:cs="仿宋_GB2312"/>
          <w:color w:val="auto"/>
          <w:kern w:val="60"/>
          <w:sz w:val="32"/>
          <w:szCs w:val="32"/>
          <w:lang w:eastAsia="zh-CN"/>
        </w:rPr>
        <w:t>执法监管</w:t>
      </w:r>
      <w:r>
        <w:rPr>
          <w:rFonts w:hint="eastAsia" w:ascii="仿宋_GB2312" w:hAnsi="仿宋_GB2312" w:eastAsia="仿宋_GB2312" w:cs="仿宋_GB2312"/>
          <w:color w:val="auto"/>
          <w:kern w:val="60"/>
          <w:sz w:val="32"/>
          <w:szCs w:val="32"/>
        </w:rPr>
        <w:t>平台</w:t>
      </w:r>
      <w:r>
        <w:rPr>
          <w:rFonts w:hint="eastAsia" w:ascii="仿宋_GB2312" w:hAnsi="仿宋_GB2312" w:eastAsia="仿宋_GB2312" w:cs="仿宋_GB2312"/>
          <w:color w:val="auto"/>
          <w:kern w:val="60"/>
          <w:sz w:val="32"/>
          <w:szCs w:val="32"/>
          <w:lang w:eastAsia="zh-CN"/>
        </w:rPr>
        <w:t>（以下简称省监管平台）</w:t>
      </w:r>
      <w:r>
        <w:rPr>
          <w:rFonts w:hint="eastAsia" w:ascii="仿宋_GB2312" w:hAnsi="仿宋_GB2312" w:eastAsia="仿宋_GB2312" w:cs="仿宋_GB2312"/>
          <w:color w:val="auto"/>
          <w:kern w:val="60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color w:val="auto"/>
          <w:kern w:val="60"/>
          <w:sz w:val="32"/>
          <w:szCs w:val="32"/>
          <w:lang w:eastAsia="zh-CN"/>
        </w:rPr>
        <w:t>持续完善</w:t>
      </w:r>
      <w:r>
        <w:rPr>
          <w:rFonts w:hint="eastAsia" w:ascii="仿宋_GB2312" w:hAnsi="仿宋_GB2312" w:eastAsia="仿宋_GB2312" w:cs="仿宋_GB2312"/>
          <w:color w:val="auto"/>
          <w:kern w:val="60"/>
          <w:sz w:val="32"/>
          <w:szCs w:val="32"/>
        </w:rPr>
        <w:t>“一单两库</w:t>
      </w:r>
      <w:r>
        <w:rPr>
          <w:rFonts w:hint="eastAsia" w:ascii="仿宋_GB2312" w:hAnsi="仿宋_GB2312" w:eastAsia="仿宋_GB2312" w:cs="仿宋_GB2312"/>
          <w:color w:val="auto"/>
          <w:kern w:val="60"/>
          <w:sz w:val="32"/>
          <w:szCs w:val="32"/>
          <w:lang w:eastAsia="zh-CN"/>
        </w:rPr>
        <w:t>一指引</w:t>
      </w:r>
      <w:r>
        <w:rPr>
          <w:rFonts w:hint="eastAsia" w:ascii="仿宋_GB2312" w:hAnsi="仿宋_GB2312" w:eastAsia="仿宋_GB2312" w:cs="仿宋_GB2312"/>
          <w:color w:val="auto"/>
          <w:kern w:val="60"/>
          <w:sz w:val="32"/>
          <w:szCs w:val="32"/>
        </w:rPr>
        <w:t>”</w:t>
      </w:r>
      <w:r>
        <w:rPr>
          <w:rFonts w:hint="eastAsia" w:ascii="仿宋_GB2312" w:hAnsi="仿宋_GB2312" w:eastAsia="仿宋_GB2312" w:cs="仿宋_GB2312"/>
          <w:color w:val="auto"/>
          <w:kern w:val="60"/>
          <w:sz w:val="32"/>
          <w:szCs w:val="32"/>
          <w:lang w:eastAsia="zh-CN"/>
        </w:rPr>
        <w:t>。通过监管</w:t>
      </w:r>
      <w:r>
        <w:rPr>
          <w:rFonts w:hint="eastAsia" w:ascii="仿宋_GB2312" w:hAnsi="仿宋_GB2312" w:eastAsia="仿宋_GB2312" w:cs="仿宋_GB2312"/>
          <w:color w:val="auto"/>
          <w:kern w:val="60"/>
          <w:sz w:val="32"/>
          <w:szCs w:val="32"/>
        </w:rPr>
        <w:t>平台</w:t>
      </w:r>
      <w:r>
        <w:rPr>
          <w:rFonts w:hint="eastAsia" w:ascii="仿宋_GB2312" w:hAnsi="仿宋_GB2312" w:eastAsia="仿宋_GB2312" w:cs="仿宋_GB2312"/>
          <w:color w:val="auto"/>
          <w:kern w:val="60"/>
          <w:sz w:val="32"/>
          <w:szCs w:val="32"/>
          <w:lang w:eastAsia="zh-CN"/>
        </w:rPr>
        <w:t>统一</w:t>
      </w:r>
      <w:r>
        <w:rPr>
          <w:rFonts w:hint="eastAsia" w:ascii="仿宋_GB2312" w:hAnsi="仿宋_GB2312" w:eastAsia="仿宋_GB2312" w:cs="仿宋_GB2312"/>
          <w:color w:val="auto"/>
          <w:kern w:val="60"/>
          <w:sz w:val="32"/>
          <w:szCs w:val="32"/>
        </w:rPr>
        <w:t>工作流程，确保</w:t>
      </w:r>
      <w:r>
        <w:rPr>
          <w:rFonts w:hint="eastAsia" w:ascii="仿宋_GB2312" w:hAnsi="仿宋_GB2312" w:eastAsia="仿宋_GB2312" w:cs="仿宋_GB2312"/>
          <w:color w:val="auto"/>
          <w:kern w:val="60"/>
          <w:sz w:val="32"/>
          <w:szCs w:val="32"/>
          <w:lang w:eastAsia="zh-CN"/>
        </w:rPr>
        <w:t>部门联合抽查规范有序开展；根据法律法规规章立改废释情况，除法律法规另有规定或不适用双随机抽查的事项外，</w:t>
      </w:r>
      <w:r>
        <w:rPr>
          <w:rFonts w:hint="eastAsia" w:ascii="仿宋_GB2312" w:hAnsi="仿宋_GB2312" w:eastAsia="仿宋_GB2312" w:cs="仿宋_GB2312"/>
          <w:snapToGrid w:val="0"/>
          <w:color w:val="auto"/>
          <w:sz w:val="32"/>
          <w:szCs w:val="32"/>
          <w:lang w:eastAsia="zh-CN"/>
        </w:rPr>
        <w:t>在省级部门清单调整完毕后，依据自身对应的上级部门、“三定”方案中的监管职责及时对涉及本单位监管事权的事项进行认领，形成本级的抽查事项清单；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动态调整本级本部门检查对象名录库和执法检</w:t>
      </w:r>
      <w:r>
        <w:rPr>
          <w:rFonts w:hint="eastAsia" w:ascii="仿宋_GB2312" w:hAnsi="仿宋_GB2312" w:eastAsia="仿宋_GB2312" w:cs="仿宋_GB2312"/>
          <w:snapToGrid w:val="0"/>
          <w:color w:val="auto"/>
          <w:sz w:val="32"/>
          <w:szCs w:val="32"/>
        </w:rPr>
        <w:t>查人员名录库，确保本级本部门检查对象和执法人员“应纳尽纳”</w:t>
      </w:r>
      <w:r>
        <w:rPr>
          <w:rFonts w:hint="eastAsia" w:ascii="仿宋_GB2312" w:hAnsi="仿宋_GB2312" w:eastAsia="仿宋_GB2312" w:cs="仿宋_GB2312"/>
          <w:snapToGrid w:val="0"/>
          <w:color w:val="auto"/>
          <w:sz w:val="32"/>
          <w:szCs w:val="32"/>
          <w:lang w:eastAsia="zh-CN"/>
        </w:rPr>
        <w:t>；运用省级“两库”完成对</w:t>
      </w:r>
      <w:r>
        <w:rPr>
          <w:rFonts w:hint="eastAsia" w:ascii="仿宋_GB2312" w:hAnsi="仿宋_GB2312" w:eastAsia="仿宋_GB2312" w:cs="仿宋_GB2312"/>
          <w:snapToGrid w:val="0"/>
          <w:color w:val="auto"/>
          <w:sz w:val="32"/>
          <w:szCs w:val="32"/>
        </w:rPr>
        <w:t>检查对象和执法检查人员的分类标注</w:t>
      </w:r>
      <w:r>
        <w:rPr>
          <w:rFonts w:hint="eastAsia" w:ascii="仿宋_GB2312" w:hAnsi="仿宋_GB2312" w:eastAsia="仿宋_GB2312" w:cs="仿宋_GB2312"/>
          <w:snapToGrid w:val="0"/>
          <w:color w:val="auto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kern w:val="60"/>
          <w:sz w:val="32"/>
          <w:szCs w:val="32"/>
          <w:lang w:eastAsia="zh-CN"/>
        </w:rPr>
        <w:t>通过分类标注</w:t>
      </w:r>
      <w:r>
        <w:rPr>
          <w:rFonts w:hint="eastAsia" w:ascii="仿宋_GB2312" w:hAnsi="仿宋_GB2312" w:eastAsia="仿宋_GB2312" w:cs="仿宋_GB2312"/>
          <w:snapToGrid w:val="0"/>
          <w:color w:val="auto"/>
          <w:sz w:val="32"/>
          <w:szCs w:val="32"/>
        </w:rPr>
        <w:t>实现对检查对象的精准抽取、执法人员的精准匹配。</w:t>
      </w:r>
    </w:p>
    <w:p w14:paraId="104E6D96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40" w:lineRule="exact"/>
        <w:ind w:firstLine="643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sz w:val="32"/>
          <w:szCs w:val="32"/>
        </w:rPr>
        <w:t>(</w:t>
      </w:r>
      <w:r>
        <w:rPr>
          <w:rFonts w:hint="eastAsia" w:ascii="楷体" w:hAnsi="楷体" w:eastAsia="楷体" w:cs="楷体"/>
          <w:b/>
          <w:bCs/>
          <w:sz w:val="32"/>
          <w:szCs w:val="32"/>
          <w:lang w:eastAsia="zh-CN"/>
        </w:rPr>
        <w:t>二</w:t>
      </w:r>
      <w:r>
        <w:rPr>
          <w:rFonts w:hint="eastAsia" w:ascii="楷体" w:hAnsi="楷体" w:eastAsia="楷体" w:cs="楷体"/>
          <w:b/>
          <w:bCs/>
          <w:sz w:val="32"/>
          <w:szCs w:val="32"/>
        </w:rPr>
        <w:t>)规范工作程序。</w:t>
      </w:r>
      <w:r>
        <w:rPr>
          <w:rFonts w:hint="eastAsia" w:ascii="仿宋_GB2312" w:hAnsi="仿宋_GB2312" w:eastAsia="仿宋_GB2312" w:cs="仿宋_GB2312"/>
          <w:bCs/>
          <w:color w:val="auto"/>
          <w:spacing w:val="-4"/>
          <w:sz w:val="32"/>
          <w:szCs w:val="32"/>
        </w:rPr>
        <w:t>严格规范</w:t>
      </w:r>
      <w:r>
        <w:rPr>
          <w:rFonts w:hint="eastAsia" w:ascii="仿宋_GB2312" w:hAnsi="仿宋_GB2312" w:eastAsia="仿宋_GB2312" w:cs="仿宋_GB2312"/>
          <w:bCs/>
          <w:color w:val="auto"/>
          <w:spacing w:val="-4"/>
          <w:sz w:val="32"/>
          <w:szCs w:val="32"/>
          <w:lang w:eastAsia="zh-CN"/>
        </w:rPr>
        <w:t>随机抽查工作程序，</w:t>
      </w:r>
      <w:r>
        <w:rPr>
          <w:rFonts w:hint="eastAsia" w:ascii="仿宋_GB2312" w:hAnsi="仿宋_GB2312" w:eastAsia="仿宋_GB2312" w:cs="仿宋_GB2312"/>
          <w:color w:val="auto"/>
          <w:kern w:val="60"/>
          <w:sz w:val="32"/>
          <w:szCs w:val="32"/>
        </w:rPr>
        <w:t>提高</w:t>
      </w:r>
      <w:r>
        <w:rPr>
          <w:rFonts w:hint="eastAsia" w:ascii="仿宋_GB2312" w:hAnsi="仿宋_GB2312" w:eastAsia="仿宋_GB2312" w:cs="仿宋_GB2312"/>
          <w:color w:val="auto"/>
          <w:kern w:val="60"/>
          <w:sz w:val="32"/>
          <w:szCs w:val="32"/>
          <w:lang w:eastAsia="zh-CN"/>
        </w:rPr>
        <w:t>“双随机、一公开”</w:t>
      </w:r>
      <w:r>
        <w:rPr>
          <w:rFonts w:hint="eastAsia" w:ascii="仿宋_GB2312" w:hAnsi="仿宋_GB2312" w:eastAsia="仿宋_GB2312" w:cs="仿宋_GB2312"/>
          <w:color w:val="auto"/>
          <w:kern w:val="60"/>
          <w:sz w:val="32"/>
          <w:szCs w:val="32"/>
        </w:rPr>
        <w:t>监管规范化</w:t>
      </w:r>
      <w:r>
        <w:rPr>
          <w:rFonts w:hint="eastAsia" w:ascii="仿宋_GB2312" w:hAnsi="仿宋_GB2312" w:eastAsia="仿宋_GB2312" w:cs="仿宋_GB2312"/>
          <w:color w:val="auto"/>
          <w:kern w:val="60"/>
          <w:sz w:val="32"/>
          <w:szCs w:val="32"/>
          <w:lang w:eastAsia="zh-CN"/>
        </w:rPr>
        <w:t>、标准化</w:t>
      </w:r>
      <w:r>
        <w:rPr>
          <w:rFonts w:hint="eastAsia" w:ascii="仿宋_GB2312" w:hAnsi="仿宋_GB2312" w:eastAsia="仿宋_GB2312" w:cs="仿宋_GB2312"/>
          <w:color w:val="auto"/>
          <w:kern w:val="60"/>
          <w:sz w:val="32"/>
          <w:szCs w:val="32"/>
        </w:rPr>
        <w:t>水平。</w:t>
      </w:r>
      <w:r>
        <w:rPr>
          <w:rFonts w:hint="eastAsia" w:ascii="仿宋" w:hAnsi="仿宋" w:eastAsia="仿宋" w:cs="仿宋"/>
          <w:sz w:val="32"/>
          <w:szCs w:val="32"/>
        </w:rPr>
        <w:t>根据上级要求、结合我局监管实际，统筹制定我局202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sz w:val="32"/>
          <w:szCs w:val="32"/>
        </w:rPr>
        <w:t>年度双随机抽查实施方案和抽查计划，</w:t>
      </w:r>
      <w:r>
        <w:rPr>
          <w:rFonts w:hint="eastAsia" w:ascii="仿宋_GB2312" w:hAnsi="仿宋_GB2312" w:eastAsia="仿宋_GB2312" w:cs="仿宋_GB2312"/>
          <w:color w:val="auto"/>
          <w:kern w:val="60"/>
          <w:sz w:val="32"/>
          <w:szCs w:val="32"/>
        </w:rPr>
        <w:t>严格按照年度随机抽查计划开展抽查，</w:t>
      </w:r>
      <w:r>
        <w:rPr>
          <w:rFonts w:hint="eastAsia" w:ascii="仿宋_GB2312" w:hAnsi="仿宋_GB2312" w:eastAsia="仿宋_GB2312" w:cs="仿宋_GB2312"/>
          <w:color w:val="auto"/>
          <w:kern w:val="60"/>
          <w:sz w:val="32"/>
          <w:szCs w:val="32"/>
          <w:lang w:eastAsia="zh-CN"/>
        </w:rPr>
        <w:t>加大组织随机抽查前的业务培训力度，提升抽查效果；</w:t>
      </w:r>
      <w:r>
        <w:rPr>
          <w:rFonts w:hint="eastAsia" w:ascii="仿宋_GB2312" w:hAnsi="仿宋_GB2312" w:eastAsia="仿宋_GB2312" w:cs="仿宋_GB2312"/>
          <w:color w:val="auto"/>
          <w:kern w:val="60"/>
          <w:sz w:val="32"/>
          <w:szCs w:val="32"/>
        </w:rPr>
        <w:t>年度计划、实施方案</w:t>
      </w:r>
      <w:r>
        <w:rPr>
          <w:rFonts w:hint="eastAsia" w:ascii="仿宋_GB2312" w:hAnsi="仿宋_GB2312" w:eastAsia="仿宋_GB2312" w:cs="仿宋_GB2312"/>
          <w:color w:val="auto"/>
          <w:kern w:val="60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auto"/>
          <w:kern w:val="60"/>
          <w:sz w:val="32"/>
          <w:szCs w:val="32"/>
        </w:rPr>
        <w:t>抽查结果</w:t>
      </w:r>
      <w:r>
        <w:rPr>
          <w:rFonts w:hint="eastAsia" w:ascii="仿宋_GB2312" w:hAnsi="仿宋_GB2312" w:eastAsia="仿宋_GB2312" w:cs="仿宋_GB2312"/>
          <w:color w:val="auto"/>
          <w:kern w:val="60"/>
          <w:sz w:val="32"/>
          <w:szCs w:val="32"/>
          <w:lang w:eastAsia="zh-CN"/>
        </w:rPr>
        <w:t>及后续处理结果要</w:t>
      </w:r>
      <w:r>
        <w:rPr>
          <w:rFonts w:hint="eastAsia" w:ascii="仿宋_GB2312" w:hAnsi="仿宋_GB2312" w:eastAsia="仿宋_GB2312" w:cs="仿宋_GB2312"/>
          <w:color w:val="auto"/>
          <w:kern w:val="60"/>
          <w:sz w:val="32"/>
          <w:szCs w:val="32"/>
        </w:rPr>
        <w:t>及时向社会公开。</w:t>
      </w:r>
      <w:r>
        <w:rPr>
          <w:rFonts w:hint="eastAsia" w:ascii="仿宋" w:hAnsi="仿宋" w:eastAsia="仿宋" w:cs="仿宋"/>
          <w:sz w:val="32"/>
          <w:szCs w:val="32"/>
        </w:rPr>
        <w:t>按照年度随机抽查计划安排，科学合理组织实施，抽取过程要公开、公正，规范、严谨开展实地检查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；</w:t>
      </w:r>
      <w:r>
        <w:rPr>
          <w:rFonts w:hint="eastAsia" w:ascii="仿宋" w:hAnsi="仿宋" w:eastAsia="仿宋" w:cs="仿宋"/>
          <w:sz w:val="32"/>
          <w:szCs w:val="32"/>
        </w:rPr>
        <w:t>抽查结束后，要及时将相关抽查资料归档，确保档案资料齐全，签字完整，提高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“双随机、一公开”</w:t>
      </w:r>
      <w:r>
        <w:rPr>
          <w:rFonts w:hint="eastAsia" w:ascii="仿宋" w:hAnsi="仿宋" w:eastAsia="仿宋" w:cs="仿宋"/>
          <w:sz w:val="32"/>
          <w:szCs w:val="32"/>
        </w:rPr>
        <w:t>监管规范化水平。</w:t>
      </w:r>
      <w:r>
        <w:rPr>
          <w:rFonts w:hint="eastAsia" w:ascii="仿宋_GB2312" w:hAnsi="仿宋_GB2312" w:eastAsia="仿宋_GB2312" w:cs="仿宋_GB2312"/>
          <w:color w:val="auto"/>
          <w:kern w:val="60"/>
          <w:sz w:val="32"/>
          <w:szCs w:val="32"/>
          <w:lang w:eastAsia="zh-CN"/>
        </w:rPr>
        <w:t>健全随机</w:t>
      </w:r>
      <w:r>
        <w:rPr>
          <w:rFonts w:hint="eastAsia" w:ascii="仿宋_GB2312" w:hAnsi="仿宋_GB2312" w:eastAsia="仿宋_GB2312" w:cs="仿宋_GB2312"/>
          <w:snapToGrid w:val="0"/>
          <w:color w:val="auto"/>
          <w:sz w:val="32"/>
          <w:szCs w:val="32"/>
        </w:rPr>
        <w:t>抽查后续处置机制，规范问题线索的转办、移送等工作，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对抽查发现的各类问题，要按照“谁主管、谁监管”和“谁管辖、谁负责”的原则做好后续监管衔接，</w:t>
      </w:r>
      <w:r>
        <w:rPr>
          <w:rFonts w:hint="eastAsia" w:ascii="仿宋_GB2312" w:hAnsi="仿宋_GB2312" w:eastAsia="仿宋_GB2312" w:cs="仿宋_GB2312"/>
          <w:color w:val="auto"/>
          <w:kern w:val="60"/>
          <w:sz w:val="32"/>
          <w:szCs w:val="32"/>
        </w:rPr>
        <w:t>依法定程序及时移交有处置权限的机构和相关部门，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依法加大惩处力度，涉嫌犯罪的及时移送司法机关，实现监管闭环</w:t>
      </w:r>
      <w:r>
        <w:rPr>
          <w:rFonts w:hint="eastAsia" w:ascii="仿宋_GB2312" w:hAnsi="仿宋_GB2312" w:eastAsia="仿宋_GB2312" w:cs="仿宋_GB2312"/>
          <w:snapToGrid w:val="0"/>
          <w:color w:val="auto"/>
          <w:sz w:val="32"/>
          <w:szCs w:val="32"/>
        </w:rPr>
        <w:t>。</w:t>
      </w:r>
    </w:p>
    <w:p w14:paraId="3AC12906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40" w:lineRule="exact"/>
        <w:ind w:firstLine="643" w:firstLineChars="200"/>
        <w:textAlignment w:val="auto"/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(三)</w:t>
      </w:r>
      <w:r>
        <w:rPr>
          <w:rFonts w:hint="eastAsia" w:ascii="楷体_GB2312" w:hAnsi="楷体_GB2312" w:eastAsia="楷体_GB2312" w:cs="楷体_GB2312"/>
          <w:b/>
          <w:color w:val="000000"/>
          <w:kern w:val="60"/>
          <w:sz w:val="32"/>
          <w:szCs w:val="32"/>
          <w:lang w:eastAsia="zh-CN"/>
        </w:rPr>
        <w:t>着力</w:t>
      </w:r>
      <w:r>
        <w:rPr>
          <w:rFonts w:hint="eastAsia" w:ascii="楷体_GB2312" w:hAnsi="楷体_GB2312" w:eastAsia="楷体_GB2312" w:cs="楷体_GB2312"/>
          <w:b/>
          <w:bCs/>
          <w:snapToGrid w:val="0"/>
          <w:color w:val="000000"/>
          <w:sz w:val="32"/>
          <w:szCs w:val="32"/>
        </w:rPr>
        <w:t>提升监管</w:t>
      </w:r>
      <w:r>
        <w:rPr>
          <w:rFonts w:hint="eastAsia" w:ascii="楷体_GB2312" w:hAnsi="楷体_GB2312" w:eastAsia="楷体_GB2312" w:cs="楷体_GB2312"/>
          <w:b/>
          <w:bCs/>
          <w:snapToGrid w:val="0"/>
          <w:color w:val="000000"/>
          <w:sz w:val="32"/>
          <w:szCs w:val="32"/>
          <w:lang w:eastAsia="zh-CN"/>
        </w:rPr>
        <w:t>效能</w:t>
      </w:r>
      <w:r>
        <w:rPr>
          <w:rFonts w:hint="eastAsia" w:ascii="楷体_GB2312" w:hAnsi="楷体_GB2312" w:eastAsia="楷体_GB2312" w:cs="楷体_GB2312"/>
          <w:b/>
          <w:bCs/>
          <w:snapToGrid w:val="0"/>
          <w:color w:val="000000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snapToGrid w:val="0"/>
          <w:color w:val="auto"/>
          <w:sz w:val="32"/>
          <w:szCs w:val="32"/>
          <w:lang w:eastAsia="zh-CN"/>
        </w:rPr>
        <w:t>积极推进</w:t>
      </w:r>
      <w:r>
        <w:rPr>
          <w:rFonts w:hint="eastAsia" w:ascii="仿宋_GB2312" w:hAnsi="仿宋_GB2312" w:eastAsia="仿宋_GB2312" w:cs="仿宋_GB2312"/>
          <w:color w:val="auto"/>
          <w:kern w:val="60"/>
          <w:sz w:val="32"/>
          <w:szCs w:val="32"/>
          <w:lang w:eastAsia="zh-CN"/>
        </w:rPr>
        <w:t>“双随机、一公开”</w:t>
      </w:r>
      <w:r>
        <w:rPr>
          <w:rFonts w:hint="eastAsia" w:ascii="仿宋_GB2312" w:hAnsi="仿宋_GB2312" w:eastAsia="仿宋_GB2312" w:cs="仿宋_GB2312"/>
          <w:color w:val="auto"/>
          <w:kern w:val="60"/>
          <w:sz w:val="32"/>
          <w:szCs w:val="32"/>
        </w:rPr>
        <w:t>监管</w:t>
      </w:r>
      <w:r>
        <w:rPr>
          <w:rFonts w:hint="eastAsia" w:ascii="仿宋_GB2312" w:hAnsi="仿宋_GB2312" w:eastAsia="仿宋_GB2312" w:cs="仿宋_GB2312"/>
          <w:color w:val="auto"/>
          <w:kern w:val="60"/>
          <w:sz w:val="32"/>
          <w:szCs w:val="32"/>
          <w:lang w:eastAsia="zh-CN"/>
        </w:rPr>
        <w:t>与</w:t>
      </w:r>
      <w:r>
        <w:rPr>
          <w:rFonts w:hint="eastAsia" w:ascii="仿宋_GB2312" w:hAnsi="仿宋_GB2312" w:eastAsia="仿宋_GB2312" w:cs="仿宋_GB2312"/>
          <w:color w:val="auto"/>
          <w:kern w:val="60"/>
          <w:sz w:val="32"/>
          <w:szCs w:val="32"/>
        </w:rPr>
        <w:t>企业信用风险分级分类</w:t>
      </w:r>
      <w:r>
        <w:rPr>
          <w:rFonts w:hint="eastAsia" w:ascii="仿宋_GB2312" w:hAnsi="仿宋_GB2312" w:eastAsia="仿宋_GB2312" w:cs="仿宋_GB2312"/>
          <w:color w:val="auto"/>
          <w:kern w:val="60"/>
          <w:sz w:val="32"/>
          <w:szCs w:val="32"/>
          <w:lang w:eastAsia="zh-CN"/>
        </w:rPr>
        <w:t>相结合</w:t>
      </w:r>
      <w:r>
        <w:rPr>
          <w:rFonts w:hint="eastAsia" w:ascii="仿宋_GB2312" w:hAnsi="仿宋_GB2312" w:eastAsia="仿宋_GB2312" w:cs="仿宋_GB2312"/>
          <w:snapToGrid w:val="0"/>
          <w:color w:val="auto"/>
          <w:sz w:val="32"/>
          <w:szCs w:val="32"/>
        </w:rPr>
        <w:t>，以制定年度随机抽查计划为抓手，</w:t>
      </w:r>
      <w:r>
        <w:rPr>
          <w:rFonts w:hint="eastAsia" w:ascii="仿宋_GB2312" w:hAnsi="仿宋_GB2312" w:eastAsia="仿宋_GB2312" w:cs="仿宋_GB2312"/>
          <w:snapToGrid w:val="0"/>
          <w:color w:val="auto"/>
          <w:sz w:val="32"/>
          <w:szCs w:val="32"/>
          <w:lang w:eastAsia="zh-CN"/>
        </w:rPr>
        <w:t>将</w:t>
      </w:r>
      <w:r>
        <w:rPr>
          <w:rFonts w:hint="eastAsia" w:ascii="仿宋_GB2312" w:hAnsi="仿宋_GB2312" w:eastAsia="仿宋_GB2312" w:cs="仿宋_GB2312"/>
          <w:color w:val="auto"/>
          <w:kern w:val="60"/>
          <w:sz w:val="32"/>
          <w:szCs w:val="32"/>
        </w:rPr>
        <w:t>企业信用风险</w:t>
      </w:r>
      <w:r>
        <w:rPr>
          <w:rFonts w:hint="eastAsia" w:ascii="仿宋_GB2312" w:hAnsi="仿宋_GB2312" w:eastAsia="仿宋_GB2312" w:cs="仿宋_GB2312"/>
          <w:color w:val="auto"/>
          <w:kern w:val="60"/>
          <w:sz w:val="32"/>
          <w:szCs w:val="32"/>
          <w:lang w:eastAsia="zh-CN"/>
        </w:rPr>
        <w:t>分级分类结果与“双随机、一公开”</w:t>
      </w:r>
      <w:r>
        <w:rPr>
          <w:rFonts w:hint="eastAsia" w:ascii="仿宋_GB2312" w:hAnsi="仿宋_GB2312" w:eastAsia="仿宋_GB2312" w:cs="仿宋_GB2312"/>
          <w:color w:val="auto"/>
          <w:kern w:val="60"/>
          <w:sz w:val="32"/>
          <w:szCs w:val="32"/>
        </w:rPr>
        <w:t>监管</w:t>
      </w:r>
      <w:r>
        <w:rPr>
          <w:rFonts w:hint="eastAsia" w:ascii="仿宋_GB2312" w:hAnsi="仿宋_GB2312" w:eastAsia="仿宋_GB2312" w:cs="仿宋_GB2312"/>
          <w:color w:val="auto"/>
          <w:kern w:val="60"/>
          <w:sz w:val="32"/>
          <w:szCs w:val="32"/>
          <w:lang w:eastAsia="zh-CN"/>
        </w:rPr>
        <w:t>深度融合</w:t>
      </w:r>
      <w:r>
        <w:rPr>
          <w:rFonts w:hint="eastAsia" w:ascii="仿宋_GB2312" w:hAnsi="仿宋_GB2312" w:eastAsia="仿宋_GB2312" w:cs="仿宋_GB2312"/>
          <w:snapToGrid w:val="0"/>
          <w:color w:val="auto"/>
          <w:sz w:val="32"/>
          <w:szCs w:val="32"/>
          <w:lang w:eastAsia="zh-CN"/>
        </w:rPr>
        <w:t>，运用信用风险分级分类开展的抽查次数占抽查企业总次数的比例</w:t>
      </w:r>
      <w:r>
        <w:rPr>
          <w:rFonts w:hint="eastAsia" w:ascii="仿宋_GB2312" w:hAnsi="仿宋_GB2312" w:eastAsia="仿宋_GB2312" w:cs="仿宋_GB2312"/>
          <w:snapToGrid w:val="0"/>
          <w:color w:val="auto"/>
          <w:sz w:val="32"/>
          <w:szCs w:val="32"/>
          <w:lang w:val="en-US" w:eastAsia="zh-CN"/>
        </w:rPr>
        <w:t>力争100%。</w:t>
      </w:r>
      <w:r>
        <w:rPr>
          <w:rFonts w:hint="eastAsia" w:ascii="仿宋_GB2312" w:hAnsi="仿宋_GB2312" w:eastAsia="仿宋_GB2312" w:cs="仿宋_GB2312"/>
          <w:snapToGrid w:val="0"/>
          <w:color w:val="auto"/>
          <w:sz w:val="32"/>
          <w:szCs w:val="32"/>
        </w:rPr>
        <w:t>充分利用信息化手段，</w:t>
      </w:r>
      <w:r>
        <w:rPr>
          <w:rFonts w:hint="eastAsia" w:ascii="仿宋_GB2312" w:hAnsi="仿宋_GB2312" w:eastAsia="仿宋_GB2312" w:cs="仿宋_GB2312"/>
          <w:snapToGrid w:val="0"/>
          <w:color w:val="auto"/>
          <w:sz w:val="32"/>
          <w:szCs w:val="32"/>
          <w:lang w:eastAsia="zh-CN"/>
        </w:rPr>
        <w:t>通过大数据分析、重点指标监测等手段，</w:t>
      </w:r>
      <w:r>
        <w:rPr>
          <w:rFonts w:hint="eastAsia" w:ascii="仿宋_GB2312" w:hAnsi="仿宋_GB2312" w:eastAsia="仿宋_GB2312" w:cs="仿宋_GB2312"/>
          <w:color w:val="auto"/>
          <w:kern w:val="60"/>
          <w:sz w:val="32"/>
          <w:szCs w:val="32"/>
          <w:lang w:eastAsia="zh-CN"/>
        </w:rPr>
        <w:t>强化企业信用风险监测预警</w:t>
      </w:r>
      <w:r>
        <w:rPr>
          <w:rFonts w:hint="eastAsia" w:ascii="仿宋_GB2312" w:hAnsi="仿宋_GB2312" w:eastAsia="仿宋_GB2312" w:cs="仿宋_GB2312"/>
          <w:color w:val="auto"/>
          <w:kern w:val="60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napToGrid w:val="0"/>
          <w:color w:val="auto"/>
          <w:spacing w:val="0"/>
          <w:sz w:val="32"/>
          <w:szCs w:val="32"/>
          <w:lang w:eastAsia="zh-CN"/>
        </w:rPr>
        <w:t>推动监管关口前移，</w:t>
      </w:r>
      <w:r>
        <w:rPr>
          <w:rFonts w:hint="eastAsia" w:ascii="仿宋_GB2312" w:hAnsi="仿宋_GB2312" w:eastAsia="仿宋_GB2312" w:cs="仿宋_GB2312"/>
          <w:snapToGrid w:val="0"/>
          <w:color w:val="auto"/>
          <w:sz w:val="32"/>
          <w:szCs w:val="32"/>
          <w:lang w:eastAsia="zh-CN"/>
        </w:rPr>
        <w:t>在预判式监管上创新突破。</w:t>
      </w:r>
    </w:p>
    <w:p w14:paraId="12AA2C61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40" w:lineRule="exact"/>
        <w:ind w:firstLine="643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(四)</w:t>
      </w:r>
      <w:r>
        <w:rPr>
          <w:rFonts w:hint="eastAsia" w:ascii="楷体" w:hAnsi="楷体" w:eastAsia="楷体" w:cs="楷体"/>
          <w:b/>
          <w:bCs/>
          <w:sz w:val="32"/>
          <w:szCs w:val="32"/>
        </w:rPr>
        <w:t>强化宣传培训。</w:t>
      </w:r>
      <w:r>
        <w:rPr>
          <w:rFonts w:hint="eastAsia" w:ascii="仿宋_GB2312" w:hAnsi="仿宋_GB2312" w:eastAsia="仿宋_GB2312" w:cs="仿宋_GB2312"/>
          <w:snapToGrid w:val="0"/>
          <w:color w:val="auto"/>
          <w:sz w:val="32"/>
          <w:szCs w:val="32"/>
          <w:lang w:eastAsia="zh-CN"/>
        </w:rPr>
        <w:t>认真总结随机抽查工作经验，</w:t>
      </w:r>
      <w:r>
        <w:rPr>
          <w:rFonts w:hint="eastAsia" w:ascii="仿宋" w:hAnsi="仿宋" w:eastAsia="仿宋" w:cs="仿宋"/>
          <w:sz w:val="32"/>
          <w:szCs w:val="32"/>
        </w:rPr>
        <w:t>加大对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“双随机、一公开”</w:t>
      </w:r>
      <w:r>
        <w:rPr>
          <w:rFonts w:hint="eastAsia" w:ascii="仿宋" w:hAnsi="仿宋" w:eastAsia="仿宋" w:cs="仿宋"/>
          <w:sz w:val="32"/>
          <w:szCs w:val="32"/>
        </w:rPr>
        <w:t>监管政策的宣传力度，</w:t>
      </w:r>
      <w:r>
        <w:rPr>
          <w:rFonts w:hint="eastAsia" w:ascii="仿宋_GB2312" w:hAnsi="仿宋_GB2312" w:eastAsia="仿宋_GB2312" w:cs="仿宋_GB2312"/>
          <w:snapToGrid w:val="0"/>
          <w:color w:val="auto"/>
          <w:sz w:val="32"/>
          <w:szCs w:val="32"/>
          <w:lang w:eastAsia="zh-CN"/>
        </w:rPr>
        <w:t>通过</w:t>
      </w:r>
      <w:r>
        <w:rPr>
          <w:rFonts w:hint="eastAsia" w:ascii="仿宋_GB2312" w:hAnsi="仿宋_GB2312" w:eastAsia="仿宋_GB2312" w:cs="仿宋_GB2312"/>
          <w:snapToGrid w:val="0"/>
          <w:color w:val="auto"/>
          <w:sz w:val="32"/>
          <w:szCs w:val="32"/>
        </w:rPr>
        <w:t>新闻媒体、</w:t>
      </w:r>
      <w:r>
        <w:rPr>
          <w:rFonts w:hint="eastAsia" w:ascii="仿宋_GB2312" w:hAnsi="仿宋_GB2312" w:eastAsia="仿宋_GB2312" w:cs="仿宋_GB2312"/>
          <w:snapToGrid w:val="0"/>
          <w:color w:val="auto"/>
          <w:sz w:val="32"/>
          <w:szCs w:val="32"/>
          <w:lang w:eastAsia="zh-CN"/>
        </w:rPr>
        <w:t>广播电视、</w:t>
      </w:r>
      <w:r>
        <w:rPr>
          <w:rFonts w:hint="eastAsia" w:ascii="仿宋_GB2312" w:hAnsi="仿宋_GB2312" w:eastAsia="仿宋_GB2312" w:cs="仿宋_GB2312"/>
          <w:snapToGrid w:val="0"/>
          <w:color w:val="auto"/>
          <w:sz w:val="32"/>
          <w:szCs w:val="32"/>
        </w:rPr>
        <w:t>官方网站等</w:t>
      </w:r>
      <w:r>
        <w:rPr>
          <w:rFonts w:hint="eastAsia" w:ascii="仿宋_GB2312" w:hAnsi="仿宋_GB2312" w:eastAsia="仿宋_GB2312" w:cs="仿宋_GB2312"/>
          <w:snapToGrid w:val="0"/>
          <w:color w:val="auto"/>
          <w:sz w:val="32"/>
          <w:szCs w:val="32"/>
          <w:lang w:eastAsia="zh-CN"/>
        </w:rPr>
        <w:t>方式加强宣传报道</w:t>
      </w:r>
      <w:r>
        <w:rPr>
          <w:rFonts w:hint="eastAsia" w:ascii="仿宋_GB2312" w:hAnsi="仿宋_GB2312" w:eastAsia="仿宋_GB2312" w:cs="仿宋_GB2312"/>
          <w:snapToGrid w:val="0"/>
          <w:color w:val="auto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napToGrid w:val="0"/>
          <w:color w:val="auto"/>
          <w:sz w:val="32"/>
          <w:szCs w:val="32"/>
          <w:lang w:eastAsia="zh-CN"/>
        </w:rPr>
        <w:t>积极开展“服务式”监管，</w:t>
      </w:r>
      <w:r>
        <w:rPr>
          <w:rFonts w:hint="eastAsia" w:ascii="仿宋_GB2312" w:hAnsi="仿宋_GB2312" w:eastAsia="仿宋_GB2312" w:cs="仿宋_GB2312"/>
          <w:snapToGrid w:val="0"/>
          <w:color w:val="auto"/>
          <w:sz w:val="32"/>
          <w:szCs w:val="32"/>
        </w:rPr>
        <w:t>在实地检查中宣讲政策、答疑解惑，不断增强企业、社会对双随机抽查监管方式的认知度，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提升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“双随机、一公开”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监管的社会影响力和公众知晓度。</w:t>
      </w:r>
      <w:r>
        <w:rPr>
          <w:rFonts w:hint="eastAsia" w:ascii="仿宋_GB2312" w:hAnsi="仿宋_GB2312" w:eastAsia="仿宋_GB2312" w:cs="仿宋_GB2312"/>
          <w:snapToGrid w:val="0"/>
          <w:color w:val="auto"/>
          <w:sz w:val="32"/>
          <w:szCs w:val="32"/>
        </w:rPr>
        <w:t>要将好经验、好做法固化为制度机制，不断提升</w:t>
      </w:r>
      <w:r>
        <w:rPr>
          <w:rFonts w:hint="eastAsia" w:ascii="仿宋_GB2312" w:hAnsi="仿宋_GB2312" w:eastAsia="仿宋_GB2312" w:cs="仿宋_GB2312"/>
          <w:snapToGrid w:val="0"/>
          <w:color w:val="auto"/>
          <w:sz w:val="32"/>
          <w:szCs w:val="32"/>
          <w:lang w:eastAsia="zh-CN"/>
        </w:rPr>
        <w:t>“双随机、一公开”</w:t>
      </w:r>
      <w:r>
        <w:rPr>
          <w:rFonts w:hint="eastAsia" w:ascii="仿宋_GB2312" w:hAnsi="仿宋_GB2312" w:eastAsia="仿宋_GB2312" w:cs="仿宋_GB2312"/>
          <w:snapToGrid w:val="0"/>
          <w:color w:val="auto"/>
          <w:sz w:val="32"/>
          <w:szCs w:val="32"/>
        </w:rPr>
        <w:t>监管整体水平</w:t>
      </w:r>
      <w:r>
        <w:rPr>
          <w:rFonts w:hint="eastAsia" w:ascii="仿宋_GB2312" w:hAnsi="仿宋_GB2312" w:eastAsia="仿宋_GB2312" w:cs="仿宋_GB2312"/>
          <w:snapToGrid w:val="0"/>
          <w:color w:val="auto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kern w:val="60"/>
          <w:sz w:val="32"/>
          <w:szCs w:val="32"/>
        </w:rPr>
        <w:t>开展常态化随机抽查工作培训</w:t>
      </w:r>
      <w:r>
        <w:rPr>
          <w:rFonts w:hint="eastAsia" w:ascii="仿宋_GB2312" w:hAnsi="仿宋_GB2312" w:eastAsia="仿宋_GB2312" w:cs="仿宋_GB2312"/>
          <w:color w:val="auto"/>
          <w:kern w:val="60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</w:rPr>
        <w:t>加大对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一线</w:t>
      </w:r>
      <w:r>
        <w:rPr>
          <w:rFonts w:hint="eastAsia" w:ascii="仿宋" w:hAnsi="仿宋" w:eastAsia="仿宋" w:cs="仿宋"/>
          <w:sz w:val="32"/>
          <w:szCs w:val="32"/>
        </w:rPr>
        <w:t>执法人员业务培训力度，重点抓好《随机抽查工作规范》、抽查检查工作指引等的培训，</w:t>
      </w:r>
      <w:r>
        <w:rPr>
          <w:rFonts w:hint="eastAsia" w:ascii="仿宋_GB2312" w:hAnsi="仿宋_GB2312" w:eastAsia="仿宋_GB2312" w:cs="仿宋_GB2312"/>
          <w:color w:val="auto"/>
          <w:kern w:val="60"/>
          <w:sz w:val="32"/>
          <w:szCs w:val="32"/>
        </w:rPr>
        <w:t>提</w:t>
      </w:r>
      <w:r>
        <w:rPr>
          <w:rFonts w:hint="eastAsia" w:ascii="仿宋_GB2312" w:hAnsi="仿宋_GB2312" w:eastAsia="仿宋_GB2312" w:cs="仿宋_GB2312"/>
          <w:color w:val="auto"/>
          <w:kern w:val="60"/>
          <w:sz w:val="32"/>
          <w:szCs w:val="32"/>
          <w:lang w:eastAsia="zh-CN"/>
        </w:rPr>
        <w:t>升一线</w:t>
      </w:r>
      <w:r>
        <w:rPr>
          <w:rFonts w:hint="eastAsia" w:ascii="仿宋_GB2312" w:hAnsi="仿宋_GB2312" w:eastAsia="仿宋_GB2312" w:cs="仿宋_GB2312"/>
          <w:color w:val="auto"/>
          <w:kern w:val="60"/>
          <w:sz w:val="32"/>
          <w:szCs w:val="32"/>
        </w:rPr>
        <w:t>执法人员</w:t>
      </w:r>
      <w:r>
        <w:rPr>
          <w:rFonts w:hint="eastAsia" w:ascii="仿宋_GB2312" w:hAnsi="仿宋_GB2312" w:eastAsia="仿宋_GB2312" w:cs="仿宋_GB2312"/>
          <w:color w:val="auto"/>
          <w:kern w:val="60"/>
          <w:sz w:val="32"/>
          <w:szCs w:val="32"/>
          <w:lang w:eastAsia="zh-CN"/>
        </w:rPr>
        <w:t>综合素质和执法能力</w:t>
      </w:r>
      <w:r>
        <w:rPr>
          <w:rFonts w:hint="eastAsia" w:ascii="仿宋" w:hAnsi="仿宋" w:eastAsia="仿宋" w:cs="仿宋"/>
          <w:sz w:val="32"/>
          <w:szCs w:val="32"/>
        </w:rPr>
        <w:t>，培养一批业务能力强、综合素质高、"一专多能”的执法人员</w:t>
      </w:r>
      <w:r>
        <w:rPr>
          <w:rFonts w:hint="eastAsia" w:ascii="仿宋_GB2312" w:hAnsi="仿宋_GB2312" w:eastAsia="仿宋_GB2312" w:cs="仿宋_GB2312"/>
          <w:color w:val="auto"/>
          <w:kern w:val="60"/>
          <w:sz w:val="32"/>
          <w:szCs w:val="32"/>
          <w:lang w:eastAsia="zh-CN"/>
        </w:rPr>
        <w:t>。</w:t>
      </w:r>
    </w:p>
    <w:p w14:paraId="14912E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3" w:firstLineChars="200"/>
        <w:textAlignment w:val="auto"/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七、工作要求</w:t>
      </w:r>
    </w:p>
    <w:p w14:paraId="228AD5C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3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（一）加强组织领导。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我局“双随机、一公开”抽查实行统一领导，分级负责的机制。我局成立了以局长为组长、分管业务的副局长和法规股股长为副组长、各科室、区队负责人为成员的领导小组，统筹协调我局“双随机、一公开”工作。</w:t>
      </w:r>
    </w:p>
    <w:p w14:paraId="1EA72145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40" w:lineRule="exact"/>
        <w:ind w:firstLine="643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（二）加强业务培训。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组织全体执法人员要认真学习上级有关“双随机、一公开”抽查文件精神，提高大家对实施该项工作重要性和必要性的认识，通过多种形式开展公共法律和专业法律知识的培训，提高大家的依法行政水平和综合执法的能力。</w:t>
      </w:r>
    </w:p>
    <w:p w14:paraId="3111839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napToGrid/>
        <w:spacing w:line="540" w:lineRule="exact"/>
        <w:ind w:firstLine="643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（三）严格责任落实。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要严格依法履职，规范执法，开展双随机抽查监管工作不得妨碍市场主体正常的生产经营活动。对于双随机抽查监管中存在的失职渎职行为，要依法依规严肃温究相应责任。</w:t>
      </w:r>
    </w:p>
    <w:p w14:paraId="6062D963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40" w:lineRule="exact"/>
        <w:ind w:firstLine="643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（四）做好协调配合。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切实承担起监管责任，进一步加强对“双随机、一公开”监管工作的指导、协调、调度和督导，加强联络沟通，主动配合，密切协作，形成合力，推进工作等实。</w:t>
      </w:r>
    </w:p>
    <w:p w14:paraId="39D6CD64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40" w:lineRule="exact"/>
        <w:ind w:firstLine="643" w:firstLineChars="20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楷体" w:hAnsi="楷体" w:eastAsia="楷体" w:cs="楷体"/>
          <w:b/>
          <w:bCs/>
          <w:sz w:val="32"/>
          <w:szCs w:val="32"/>
          <w:lang w:val="en-US" w:eastAsia="zh-CN"/>
        </w:rPr>
        <w:t>(</w:t>
      </w: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五</w:t>
      </w:r>
      <w:r>
        <w:rPr>
          <w:rFonts w:hint="default" w:ascii="楷体" w:hAnsi="楷体" w:eastAsia="楷体" w:cs="楷体"/>
          <w:b/>
          <w:bCs/>
          <w:sz w:val="32"/>
          <w:szCs w:val="32"/>
          <w:lang w:val="en-US" w:eastAsia="zh-CN"/>
        </w:rPr>
        <w:t>)加强宣传培训。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加大推行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“双随机、一公开”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工作宣传力度，要充分利用报刊、网络、微信等各种宣传渠道，切实加强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“双随机、一公开”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的宣传力度 ，同时加强对行政执法人员的培训，不断提高行政执法能力。</w:t>
      </w:r>
    </w:p>
    <w:p w14:paraId="3AEB2B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both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</w:t>
      </w:r>
    </w:p>
    <w:p w14:paraId="2C0FC2FC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right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     2026年10月8日     </w:t>
      </w:r>
    </w:p>
    <w:p w14:paraId="169532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left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sectPr>
      <w:footerReference r:id="rId3" w:type="default"/>
      <w:pgSz w:w="11906" w:h="16838"/>
      <w:pgMar w:top="1417" w:right="1417" w:bottom="1417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F711AE5-0850-46F7-8A45-EE221D2C0BC2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0DBF9D80-C498-48D5-9FED-FBE20E6DD2E6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C9B171C3-12CE-4D82-855E-BB73280D97A3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7481A806-B41B-47C9-AB59-E3BCE5FE356B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D7A5E899-0ED9-4E97-BECA-FF5C57D4CB5B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6" w:fontKey="{7C280A32-F7F7-4985-9D45-1D3DD3E92C2E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15E4BD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8F9C170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8F9C170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D07464"/>
    <w:rsid w:val="03862AFD"/>
    <w:rsid w:val="085B7EF6"/>
    <w:rsid w:val="0F963583"/>
    <w:rsid w:val="12E46CF3"/>
    <w:rsid w:val="229D1470"/>
    <w:rsid w:val="237E5772"/>
    <w:rsid w:val="24536581"/>
    <w:rsid w:val="27C61FCD"/>
    <w:rsid w:val="2A5E0E02"/>
    <w:rsid w:val="2EFE1C3E"/>
    <w:rsid w:val="35451212"/>
    <w:rsid w:val="398621AE"/>
    <w:rsid w:val="4D9D2CDB"/>
    <w:rsid w:val="4E3C10A0"/>
    <w:rsid w:val="58E4388C"/>
    <w:rsid w:val="68FB39DF"/>
    <w:rsid w:val="6A13561C"/>
    <w:rsid w:val="6C11216C"/>
    <w:rsid w:val="7116372D"/>
    <w:rsid w:val="72DF60B5"/>
    <w:rsid w:val="7499627D"/>
    <w:rsid w:val="7B152F84"/>
    <w:rsid w:val="7B800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460</Words>
  <Characters>473</Characters>
  <Lines>0</Lines>
  <Paragraphs>0</Paragraphs>
  <TotalTime>85</TotalTime>
  <ScaleCrop>false</ScaleCrop>
  <LinksUpToDate>false</LinksUpToDate>
  <CharactersWithSpaces>477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2024-01-10T07:04:00Z</dcterms:created>
  <dc:creator>Administrator</dc:creator>
  <cp:lastModifiedBy>郝思含</cp:lastModifiedBy>
  <cp:lastPrinted>2026-10-12T03:41:00Z</cp:lastPrinted>
  <dcterms:modified xsi:type="dcterms:W3CDTF">2026-10-14T06:34:25Z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1BF9553E3A3D48B19E4F8FB9CC05CF8C</vt:lpwstr>
  </property>
  <property fmtid="{D5CDD505-2E9C-101B-9397-08002B2CF9AE}" pid="4" name="KSOTemplateDocerSaveRecord">
    <vt:lpwstr>eyJoZGlkIjoiNjBlMThkMTE5ODM0OGI5NDdkZDQ5MTE3ZWFmZjZjMDIiLCJ1c2VySWQiOiIxNjgyODk4OTk2In0=</vt:lpwstr>
  </property>
</Properties>
</file>