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中共高阳县委社会工作部</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215</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F4AD58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中共高阳县委社会工作部</w:t>
      </w:r>
    </w:p>
    <w:p w14:paraId="465014FF">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967E1E2">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中共高阳县委社会工作部</w:t>
      </w:r>
    </w:p>
    <w:p w14:paraId="517DF280">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3D3A4BD9">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2CA9B0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587A736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5BBE16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27ECF2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F642E35">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70F237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AAA38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D5A96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5D44A3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D4480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AA8F0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C8BDD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310BA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510DB1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4F2350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75568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B7C58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A4040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87A06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514526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A589C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54B68D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10FEAD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A9217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72BA2F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0C6774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A27600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5C9597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一、部门职责</w:t>
      </w:r>
    </w:p>
    <w:p w14:paraId="1CA12B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党的社会工作。</w:t>
      </w:r>
    </w:p>
    <w:p w14:paraId="32D5BD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b w:val="0"/>
          <w:sz w:val="32"/>
          <w:szCs w:val="32"/>
        </w:rPr>
      </w:pPr>
      <w:r>
        <w:rPr>
          <w:rFonts w:ascii="Times New Roman" w:eastAsia="黑体"/>
          <w:b w:val="0"/>
          <w:sz w:val="32"/>
          <w:szCs w:val="32"/>
        </w:rPr>
        <w:t>二、机构设置</w:t>
      </w:r>
    </w:p>
    <w:p w14:paraId="3C3650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vAlign w:val="top"/>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中共高阳县委社会工作部（本级）</w:t>
            </w:r>
          </w:p>
        </w:tc>
        <w:tc>
          <w:tcPr>
            <w:tcW w:w="2445" w:type="dxa"/>
            <w:vAlign w:val="top"/>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行政机关</w:t>
            </w:r>
          </w:p>
        </w:tc>
        <w:tc>
          <w:tcPr>
            <w:tcW w:w="2665" w:type="dxa"/>
            <w:vAlign w:val="top"/>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7108D05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我部门无二级预算单位，因此，中共高阳县委社会工作部2025年度部门决算即中共高阳县委社会工作部本级2025年度决算。</w:t>
      </w:r>
    </w:p>
    <w:p w14:paraId="45EBC5D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2F6B6B5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33D5C07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D2FC6A6">
      <w:pPr>
        <w:widowControl/>
        <w:spacing w:before="0" w:beforeLines="0" w:beforeAutospacing="0" w:after="0" w:afterLines="0" w:afterAutospacing="0" w:line="360" w:lineRule="auto"/>
        <w:jc w:val="center"/>
        <w:outlineLvl w:val="0"/>
        <w:rPr>
          <w:rFonts w:ascii="Times New Roman" w:eastAsia="黑体"/>
          <w:b w:val="0"/>
          <w:sz w:val="44"/>
          <w:szCs w:val="44"/>
        </w:rPr>
      </w:pPr>
    </w:p>
    <w:p w14:paraId="17387AB0">
      <w:pPr>
        <w:widowControl/>
        <w:spacing w:before="0" w:beforeLines="0" w:beforeAutospacing="0" w:after="0" w:afterLines="0" w:afterAutospacing="0" w:line="360" w:lineRule="auto"/>
        <w:jc w:val="center"/>
        <w:outlineLvl w:val="0"/>
        <w:rPr>
          <w:rFonts w:ascii="Times New Roman" w:eastAsia="黑体"/>
          <w:b w:val="0"/>
          <w:sz w:val="44"/>
          <w:szCs w:val="44"/>
        </w:rPr>
      </w:pPr>
    </w:p>
    <w:p w14:paraId="636FCB2B">
      <w:pPr>
        <w:widowControl/>
        <w:spacing w:before="0" w:beforeLines="0" w:beforeAutospacing="0" w:after="0" w:afterLines="0" w:afterAutospacing="0" w:line="360" w:lineRule="auto"/>
        <w:jc w:val="center"/>
        <w:outlineLvl w:val="0"/>
        <w:rPr>
          <w:rFonts w:ascii="Times New Roman" w:eastAsia="黑体"/>
          <w:b w:val="0"/>
          <w:sz w:val="44"/>
          <w:szCs w:val="44"/>
        </w:rPr>
      </w:pPr>
    </w:p>
    <w:p w14:paraId="24F9A7FD">
      <w:pPr>
        <w:widowControl/>
        <w:spacing w:before="0" w:beforeLines="0" w:beforeAutospacing="0" w:after="0" w:afterLines="0" w:afterAutospacing="0" w:line="360" w:lineRule="auto"/>
        <w:jc w:val="center"/>
        <w:outlineLvl w:val="0"/>
        <w:rPr>
          <w:rFonts w:ascii="Times New Roman" w:eastAsia="黑体"/>
          <w:b w:val="0"/>
          <w:sz w:val="44"/>
          <w:szCs w:val="44"/>
        </w:rPr>
      </w:pPr>
    </w:p>
    <w:p w14:paraId="21DF932A">
      <w:pPr>
        <w:widowControl/>
        <w:spacing w:before="0" w:beforeLines="0" w:beforeAutospacing="0" w:after="0" w:afterLines="0" w:afterAutospacing="0" w:line="360" w:lineRule="auto"/>
        <w:jc w:val="center"/>
        <w:outlineLvl w:val="0"/>
        <w:rPr>
          <w:rFonts w:ascii="Times New Roman" w:eastAsia="黑体"/>
          <w:b w:val="0"/>
          <w:sz w:val="44"/>
          <w:szCs w:val="44"/>
        </w:rPr>
      </w:pPr>
    </w:p>
    <w:p w14:paraId="462D0011">
      <w:pPr>
        <w:widowControl/>
        <w:spacing w:before="0" w:beforeLines="0" w:beforeAutospacing="0" w:after="0" w:afterLines="0" w:afterAutospacing="0" w:line="360" w:lineRule="auto"/>
        <w:jc w:val="center"/>
        <w:outlineLvl w:val="0"/>
        <w:rPr>
          <w:rFonts w:ascii="Times New Roman" w:eastAsia="黑体"/>
          <w:b w:val="0"/>
          <w:sz w:val="44"/>
          <w:szCs w:val="44"/>
        </w:rPr>
      </w:pPr>
    </w:p>
    <w:p w14:paraId="473945EA">
      <w:pPr>
        <w:widowControl/>
        <w:spacing w:before="0" w:beforeLines="0" w:beforeAutospacing="0" w:after="0" w:afterLines="0" w:afterAutospacing="0" w:line="360" w:lineRule="auto"/>
        <w:jc w:val="center"/>
        <w:outlineLvl w:val="0"/>
        <w:rPr>
          <w:rFonts w:ascii="Times New Roman" w:eastAsia="黑体"/>
          <w:b w:val="0"/>
          <w:sz w:val="44"/>
          <w:szCs w:val="44"/>
        </w:rPr>
      </w:pPr>
    </w:p>
    <w:p w14:paraId="29A1263E">
      <w:pPr>
        <w:widowControl/>
        <w:spacing w:before="0" w:beforeLines="0" w:beforeAutospacing="0" w:after="0" w:afterLines="0" w:afterAutospacing="0" w:line="360" w:lineRule="auto"/>
        <w:jc w:val="center"/>
        <w:outlineLvl w:val="0"/>
        <w:rPr>
          <w:rFonts w:ascii="Times New Roman" w:eastAsia="黑体"/>
          <w:b w:val="0"/>
          <w:sz w:val="44"/>
          <w:szCs w:val="44"/>
        </w:rPr>
      </w:pPr>
    </w:p>
    <w:p w14:paraId="6BA6B0F3">
      <w:pPr>
        <w:widowControl/>
        <w:spacing w:before="0" w:beforeLines="0" w:beforeAutospacing="0" w:after="0" w:afterLines="0" w:afterAutospacing="0" w:line="360" w:lineRule="auto"/>
        <w:jc w:val="center"/>
        <w:outlineLvl w:val="0"/>
        <w:rPr>
          <w:rFonts w:ascii="Times New Roman" w:eastAsia="黑体"/>
          <w:b w:val="0"/>
          <w:sz w:val="44"/>
          <w:szCs w:val="44"/>
        </w:rPr>
      </w:pPr>
    </w:p>
    <w:p w14:paraId="3C737AF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部门：中共高阳县委社会工作部</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186.39</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5.06</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7.52</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部门：中共高阳县委社会工作部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BB6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03A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E09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社会工作事务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82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B0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0DC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D52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270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7E0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2E9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DD0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1EF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BCC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D86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985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06E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74E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8D7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F2F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BFB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D03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EDD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87E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554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1C0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8E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643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41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48C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703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E2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6AB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728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25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FDB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CE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07E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CE3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8E1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78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64D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193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076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9A2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4E2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967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9E7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4B1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B4F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658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FCA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BF3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8CB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AA1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7DD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AE2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E4B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4A6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A0A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3C1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A82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1C9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A15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F6B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8E6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FCB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FBA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B6D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D9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DC8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5D5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962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B8A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7DC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14F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ECD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C06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CD1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409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ACC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86F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D29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90D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76D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8DC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A20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7F8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E62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F1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934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1F3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699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439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0A5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FF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4C6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72F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A1C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455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0DA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10A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4DA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5B5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A88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B1A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02D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2FB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326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5D0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13F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74E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191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E5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979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DB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F7C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FA4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9AF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84E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527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2E0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584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3D2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792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89D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04A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928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A0F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969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64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6B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B9C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407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378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169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A13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F62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E66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5C6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A23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B54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323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BC7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3BC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B7F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F08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B0F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6B9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EF2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92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部门：中共高阳县委社会工作部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F69C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44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67B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9BD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503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770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C69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626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500CE">
            <w:pPr>
              <w:jc w:val="right"/>
              <w:rPr>
                <w:rFonts w:hint="default" w:ascii="Times New Roman" w:hAnsi="Times New Roman" w:eastAsia="宋体" w:cs="Times New Roman"/>
                <w:i w:val="0"/>
                <w:iCs w:val="0"/>
                <w:color w:val="000000"/>
                <w:sz w:val="20"/>
                <w:szCs w:val="20"/>
                <w:highlight w:val="none"/>
                <w:u w:val="none"/>
              </w:rPr>
            </w:pPr>
          </w:p>
        </w:tc>
      </w:tr>
      <w:tr w14:paraId="06E0D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7B3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017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77C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966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E7FE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0E0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380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F47ED">
            <w:pPr>
              <w:jc w:val="right"/>
              <w:rPr>
                <w:rFonts w:hint="default" w:ascii="Times New Roman" w:hAnsi="Times New Roman" w:eastAsia="宋体" w:cs="Times New Roman"/>
                <w:i w:val="0"/>
                <w:iCs w:val="0"/>
                <w:color w:val="000000"/>
                <w:sz w:val="20"/>
                <w:szCs w:val="20"/>
                <w:highlight w:val="none"/>
                <w:u w:val="none"/>
              </w:rPr>
            </w:pPr>
          </w:p>
        </w:tc>
      </w:tr>
      <w:tr w14:paraId="67BF8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C69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474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BF5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7A0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C0C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DC28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BB65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6295A">
            <w:pPr>
              <w:jc w:val="right"/>
              <w:rPr>
                <w:rFonts w:hint="default" w:ascii="Times New Roman" w:hAnsi="Times New Roman" w:eastAsia="宋体" w:cs="Times New Roman"/>
                <w:i w:val="0"/>
                <w:iCs w:val="0"/>
                <w:color w:val="000000"/>
                <w:sz w:val="20"/>
                <w:szCs w:val="20"/>
                <w:highlight w:val="none"/>
                <w:u w:val="none"/>
              </w:rPr>
            </w:pPr>
          </w:p>
        </w:tc>
      </w:tr>
      <w:tr w14:paraId="6FDDD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A07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0E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C09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C76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D314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AC5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B6F1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A4DE9">
            <w:pPr>
              <w:jc w:val="right"/>
              <w:rPr>
                <w:rFonts w:hint="default" w:ascii="Times New Roman" w:hAnsi="Times New Roman" w:eastAsia="宋体" w:cs="Times New Roman"/>
                <w:i w:val="0"/>
                <w:iCs w:val="0"/>
                <w:color w:val="000000"/>
                <w:sz w:val="20"/>
                <w:szCs w:val="20"/>
                <w:highlight w:val="none"/>
                <w:u w:val="none"/>
              </w:rPr>
            </w:pPr>
          </w:p>
        </w:tc>
      </w:tr>
      <w:tr w14:paraId="1CB30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D00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E73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C75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6BB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9AB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9B4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B42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97F69">
            <w:pPr>
              <w:jc w:val="right"/>
              <w:rPr>
                <w:rFonts w:hint="default" w:ascii="Times New Roman" w:hAnsi="Times New Roman" w:eastAsia="宋体" w:cs="Times New Roman"/>
                <w:i w:val="0"/>
                <w:iCs w:val="0"/>
                <w:color w:val="000000"/>
                <w:sz w:val="20"/>
                <w:szCs w:val="20"/>
                <w:highlight w:val="none"/>
                <w:u w:val="none"/>
              </w:rPr>
            </w:pPr>
          </w:p>
        </w:tc>
      </w:tr>
      <w:tr w14:paraId="02BCA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D81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4E7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22E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4E1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CC20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B34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1BC7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68A10">
            <w:pPr>
              <w:jc w:val="right"/>
              <w:rPr>
                <w:rFonts w:hint="default" w:ascii="Times New Roman" w:hAnsi="Times New Roman" w:eastAsia="宋体" w:cs="Times New Roman"/>
                <w:i w:val="0"/>
                <w:iCs w:val="0"/>
                <w:color w:val="000000"/>
                <w:sz w:val="20"/>
                <w:szCs w:val="20"/>
                <w:highlight w:val="none"/>
                <w:u w:val="none"/>
              </w:rPr>
            </w:pPr>
          </w:p>
        </w:tc>
      </w:tr>
      <w:tr w14:paraId="715C6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2FA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C3C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E6A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1CE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1776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9080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40D7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F08A3">
            <w:pPr>
              <w:jc w:val="right"/>
              <w:rPr>
                <w:rFonts w:hint="default" w:ascii="Times New Roman" w:hAnsi="Times New Roman" w:eastAsia="宋体" w:cs="Times New Roman"/>
                <w:i w:val="0"/>
                <w:iCs w:val="0"/>
                <w:color w:val="000000"/>
                <w:sz w:val="20"/>
                <w:szCs w:val="20"/>
                <w:highlight w:val="none"/>
                <w:u w:val="none"/>
              </w:rPr>
            </w:pPr>
          </w:p>
        </w:tc>
      </w:tr>
      <w:tr w14:paraId="16EC3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106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A24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FF4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A6E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FB8E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ACC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8DE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13E41">
            <w:pPr>
              <w:jc w:val="right"/>
              <w:rPr>
                <w:rFonts w:hint="default" w:ascii="Times New Roman" w:hAnsi="Times New Roman" w:eastAsia="宋体" w:cs="Times New Roman"/>
                <w:i w:val="0"/>
                <w:iCs w:val="0"/>
                <w:color w:val="000000"/>
                <w:sz w:val="20"/>
                <w:szCs w:val="20"/>
                <w:highlight w:val="none"/>
                <w:u w:val="none"/>
              </w:rPr>
            </w:pPr>
          </w:p>
        </w:tc>
      </w:tr>
      <w:tr w14:paraId="15222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414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BDB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6D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7F5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3AB7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4705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25D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816F3">
            <w:pPr>
              <w:jc w:val="right"/>
              <w:rPr>
                <w:rFonts w:hint="default" w:ascii="Times New Roman" w:hAnsi="Times New Roman" w:eastAsia="宋体" w:cs="Times New Roman"/>
                <w:i w:val="0"/>
                <w:iCs w:val="0"/>
                <w:color w:val="000000"/>
                <w:sz w:val="20"/>
                <w:szCs w:val="20"/>
                <w:highlight w:val="none"/>
                <w:u w:val="none"/>
              </w:rPr>
            </w:pPr>
          </w:p>
        </w:tc>
      </w:tr>
      <w:tr w14:paraId="10CF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B1D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2FF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3F6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C52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8AC7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E02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5775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BBE1F">
            <w:pPr>
              <w:jc w:val="right"/>
              <w:rPr>
                <w:rFonts w:hint="default" w:ascii="Times New Roman" w:hAnsi="Times New Roman" w:eastAsia="宋体" w:cs="Times New Roman"/>
                <w:i w:val="0"/>
                <w:iCs w:val="0"/>
                <w:color w:val="000000"/>
                <w:sz w:val="20"/>
                <w:szCs w:val="20"/>
                <w:highlight w:val="none"/>
                <w:u w:val="none"/>
              </w:rPr>
            </w:pPr>
          </w:p>
        </w:tc>
      </w:tr>
      <w:tr w14:paraId="5897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5FC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98A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6C3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9F8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F0FE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A3F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ACEE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F14C2">
            <w:pPr>
              <w:jc w:val="right"/>
              <w:rPr>
                <w:rFonts w:hint="default" w:ascii="Times New Roman" w:hAnsi="Times New Roman" w:eastAsia="宋体" w:cs="Times New Roman"/>
                <w:i w:val="0"/>
                <w:iCs w:val="0"/>
                <w:color w:val="000000"/>
                <w:sz w:val="20"/>
                <w:szCs w:val="20"/>
                <w:highlight w:val="none"/>
                <w:u w:val="none"/>
              </w:rPr>
            </w:pPr>
          </w:p>
        </w:tc>
      </w:tr>
      <w:tr w14:paraId="2953E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0D0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C10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0F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DF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8F9A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7D3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3BED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0DEC2">
            <w:pPr>
              <w:jc w:val="right"/>
              <w:rPr>
                <w:rFonts w:hint="default" w:ascii="Times New Roman" w:hAnsi="Times New Roman" w:eastAsia="宋体" w:cs="Times New Roman"/>
                <w:i w:val="0"/>
                <w:iCs w:val="0"/>
                <w:color w:val="000000"/>
                <w:sz w:val="20"/>
                <w:szCs w:val="20"/>
                <w:highlight w:val="none"/>
                <w:u w:val="none"/>
              </w:rPr>
            </w:pPr>
          </w:p>
        </w:tc>
      </w:tr>
      <w:tr w14:paraId="145A4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0E5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82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10D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63D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387E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CD3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056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D7E14">
            <w:pPr>
              <w:jc w:val="right"/>
              <w:rPr>
                <w:rFonts w:hint="default" w:ascii="Times New Roman" w:hAnsi="Times New Roman" w:eastAsia="宋体" w:cs="Times New Roman"/>
                <w:i w:val="0"/>
                <w:iCs w:val="0"/>
                <w:color w:val="000000"/>
                <w:sz w:val="20"/>
                <w:szCs w:val="20"/>
                <w:highlight w:val="none"/>
                <w:u w:val="none"/>
              </w:rPr>
            </w:pPr>
          </w:p>
        </w:tc>
      </w:tr>
      <w:tr w14:paraId="554E8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4C3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EB6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B53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3D0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748D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9E7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B9B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0AAEF">
            <w:pPr>
              <w:jc w:val="right"/>
              <w:rPr>
                <w:rFonts w:hint="default" w:ascii="Times New Roman" w:hAnsi="Times New Roman" w:eastAsia="宋体" w:cs="Times New Roman"/>
                <w:i w:val="0"/>
                <w:iCs w:val="0"/>
                <w:color w:val="000000"/>
                <w:sz w:val="20"/>
                <w:szCs w:val="20"/>
                <w:highlight w:val="none"/>
                <w:u w:val="none"/>
              </w:rPr>
            </w:pPr>
          </w:p>
        </w:tc>
      </w:tr>
      <w:tr w14:paraId="656DC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480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E02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21A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426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1BB4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9F4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0276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FCCF5">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部门：中共高阳县委社会工作部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217.20</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部门：中共高阳县委社会工作部</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88.44</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r>
      <w:tr w14:paraId="0BBD7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12CD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B49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4B3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559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8632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r>
      <w:tr w14:paraId="004CC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10A3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E9C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817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A42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82C8EF">
            <w:pPr>
              <w:jc w:val="right"/>
              <w:rPr>
                <w:rFonts w:hint="default" w:ascii="Times New Roman" w:hAnsi="Times New Roman" w:eastAsia="宋体" w:cs="Times New Roman"/>
                <w:i w:val="0"/>
                <w:iCs w:val="0"/>
                <w:color w:val="000000"/>
                <w:sz w:val="20"/>
                <w:szCs w:val="20"/>
                <w:highlight w:val="none"/>
                <w:u w:val="none"/>
              </w:rPr>
            </w:pPr>
          </w:p>
        </w:tc>
      </w:tr>
      <w:tr w14:paraId="2D71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D78D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C58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187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61B3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CFE6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88.44</w:t>
            </w:r>
          </w:p>
        </w:tc>
      </w:tr>
      <w:tr w14:paraId="5E71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02B8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0D9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2BE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BCD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E82449">
            <w:pPr>
              <w:jc w:val="right"/>
              <w:rPr>
                <w:rFonts w:hint="default" w:ascii="Times New Roman" w:hAnsi="Times New Roman" w:eastAsia="宋体" w:cs="Times New Roman"/>
                <w:i w:val="0"/>
                <w:iCs w:val="0"/>
                <w:color w:val="000000"/>
                <w:sz w:val="20"/>
                <w:szCs w:val="20"/>
                <w:highlight w:val="none"/>
                <w:u w:val="none"/>
              </w:rPr>
            </w:pPr>
          </w:p>
        </w:tc>
      </w:tr>
      <w:tr w14:paraId="5C1D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C89AA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CED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587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6A9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C77CA0">
            <w:pPr>
              <w:jc w:val="right"/>
              <w:rPr>
                <w:rFonts w:hint="default" w:ascii="Times New Roman" w:hAnsi="Times New Roman" w:eastAsia="宋体" w:cs="Times New Roman"/>
                <w:i w:val="0"/>
                <w:iCs w:val="0"/>
                <w:color w:val="000000"/>
                <w:sz w:val="20"/>
                <w:szCs w:val="20"/>
                <w:highlight w:val="none"/>
                <w:u w:val="none"/>
              </w:rPr>
            </w:pPr>
          </w:p>
        </w:tc>
      </w:tr>
      <w:tr w14:paraId="07ED1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ADA5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1CD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7ED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EEB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49E6D4">
            <w:pPr>
              <w:jc w:val="right"/>
              <w:rPr>
                <w:rFonts w:hint="default" w:ascii="Times New Roman" w:hAnsi="Times New Roman" w:eastAsia="宋体" w:cs="Times New Roman"/>
                <w:i w:val="0"/>
                <w:iCs w:val="0"/>
                <w:color w:val="000000"/>
                <w:sz w:val="20"/>
                <w:szCs w:val="20"/>
                <w:highlight w:val="none"/>
                <w:u w:val="none"/>
              </w:rPr>
            </w:pPr>
          </w:p>
        </w:tc>
      </w:tr>
      <w:tr w14:paraId="78647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659C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439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2DF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602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7C39AB">
            <w:pPr>
              <w:jc w:val="right"/>
              <w:rPr>
                <w:rFonts w:hint="default" w:ascii="Times New Roman" w:hAnsi="Times New Roman" w:eastAsia="宋体" w:cs="Times New Roman"/>
                <w:i w:val="0"/>
                <w:iCs w:val="0"/>
                <w:color w:val="000000"/>
                <w:sz w:val="20"/>
                <w:szCs w:val="20"/>
                <w:highlight w:val="none"/>
                <w:u w:val="none"/>
              </w:rPr>
            </w:pPr>
          </w:p>
        </w:tc>
      </w:tr>
      <w:tr w14:paraId="419F6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1543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4B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57E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C70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AA3B8B">
            <w:pPr>
              <w:jc w:val="right"/>
              <w:rPr>
                <w:rFonts w:hint="default" w:ascii="Times New Roman" w:hAnsi="Times New Roman" w:eastAsia="宋体" w:cs="Times New Roman"/>
                <w:i w:val="0"/>
                <w:iCs w:val="0"/>
                <w:color w:val="000000"/>
                <w:sz w:val="20"/>
                <w:szCs w:val="20"/>
                <w:highlight w:val="none"/>
                <w:u w:val="none"/>
              </w:rPr>
            </w:pPr>
          </w:p>
        </w:tc>
      </w:tr>
      <w:tr w14:paraId="16C2C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85BD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EA6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26B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3B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2A2167">
            <w:pPr>
              <w:jc w:val="right"/>
              <w:rPr>
                <w:rFonts w:hint="default" w:ascii="Times New Roman" w:hAnsi="Times New Roman" w:eastAsia="宋体" w:cs="Times New Roman"/>
                <w:i w:val="0"/>
                <w:iCs w:val="0"/>
                <w:color w:val="000000"/>
                <w:sz w:val="20"/>
                <w:szCs w:val="20"/>
                <w:highlight w:val="none"/>
                <w:u w:val="none"/>
              </w:rPr>
            </w:pPr>
          </w:p>
        </w:tc>
      </w:tr>
      <w:tr w14:paraId="663DD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351E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1BC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761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259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A038D3">
            <w:pPr>
              <w:jc w:val="right"/>
              <w:rPr>
                <w:rFonts w:hint="default" w:ascii="Times New Roman" w:hAnsi="Times New Roman" w:eastAsia="宋体" w:cs="Times New Roman"/>
                <w:i w:val="0"/>
                <w:iCs w:val="0"/>
                <w:color w:val="000000"/>
                <w:sz w:val="20"/>
                <w:szCs w:val="20"/>
                <w:highlight w:val="none"/>
                <w:u w:val="none"/>
              </w:rPr>
            </w:pPr>
          </w:p>
        </w:tc>
      </w:tr>
      <w:tr w14:paraId="1051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ECDD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A15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9DC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7AD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281F95">
            <w:pPr>
              <w:jc w:val="right"/>
              <w:rPr>
                <w:rFonts w:hint="default" w:ascii="Times New Roman" w:hAnsi="Times New Roman" w:eastAsia="宋体" w:cs="Times New Roman"/>
                <w:i w:val="0"/>
                <w:iCs w:val="0"/>
                <w:color w:val="000000"/>
                <w:sz w:val="20"/>
                <w:szCs w:val="20"/>
                <w:highlight w:val="none"/>
                <w:u w:val="none"/>
              </w:rPr>
            </w:pPr>
          </w:p>
        </w:tc>
      </w:tr>
      <w:tr w14:paraId="75EEA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D4A7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45D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8DC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E94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53FF26">
            <w:pPr>
              <w:jc w:val="right"/>
              <w:rPr>
                <w:rFonts w:hint="default" w:ascii="Times New Roman" w:hAnsi="Times New Roman" w:eastAsia="宋体" w:cs="Times New Roman"/>
                <w:i w:val="0"/>
                <w:iCs w:val="0"/>
                <w:color w:val="000000"/>
                <w:sz w:val="20"/>
                <w:szCs w:val="20"/>
                <w:highlight w:val="none"/>
                <w:u w:val="none"/>
              </w:rPr>
            </w:pPr>
          </w:p>
        </w:tc>
      </w:tr>
      <w:tr w14:paraId="78CE9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BEF7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DF8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22C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F9C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373469">
            <w:pPr>
              <w:jc w:val="right"/>
              <w:rPr>
                <w:rFonts w:hint="default" w:ascii="Times New Roman" w:hAnsi="Times New Roman" w:eastAsia="宋体" w:cs="Times New Roman"/>
                <w:i w:val="0"/>
                <w:iCs w:val="0"/>
                <w:color w:val="000000"/>
                <w:sz w:val="20"/>
                <w:szCs w:val="20"/>
                <w:highlight w:val="none"/>
                <w:u w:val="none"/>
              </w:rPr>
            </w:pPr>
          </w:p>
        </w:tc>
      </w:tr>
      <w:tr w14:paraId="61F2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A7D4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774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276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6BD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13DAD0">
            <w:pPr>
              <w:jc w:val="right"/>
              <w:rPr>
                <w:rFonts w:hint="default" w:ascii="Times New Roman" w:hAnsi="Times New Roman" w:eastAsia="宋体" w:cs="Times New Roman"/>
                <w:i w:val="0"/>
                <w:iCs w:val="0"/>
                <w:color w:val="000000"/>
                <w:sz w:val="20"/>
                <w:szCs w:val="20"/>
                <w:highlight w:val="none"/>
                <w:u w:val="none"/>
              </w:rPr>
            </w:pPr>
          </w:p>
        </w:tc>
      </w:tr>
      <w:tr w14:paraId="3010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00A7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593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D6D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FD3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587616">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部门：中共高阳县委社会工作部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116.02</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53.91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18.02</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9.62</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3.32</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12.16</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2.66</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6.08</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5.06</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7.52</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0.88</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0.45</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6.77</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0.21</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116.02</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12.74</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部门：中共高阳县委社会工作部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722FC62">
            <w:pP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注：1.本表反映部门本年度政府性基金预算财政拨款收入、支出及结转和结余情况。</w:t>
            </w:r>
          </w:p>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2.本部门本年度无相关收入(或支出、收支及结转结余情况），按要求空表列示。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部门：中共高阳县委社会工作部</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注：1.本表反映部门本年度国有资本经营预算财政拨款支出情况。</w:t>
            </w:r>
          </w:p>
          <w:p w14:paraId="77A1D6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2.本部门本年度无相关支出，按要求空表列示。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部门：中共高阳县委社会工作部</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注：1.本表反映部门本年度财政拨款“三公”经费支出预决算情况。其中：预算数为“三公”经费全年预算数，反映按规定程序调整后的预算数；决算数是包括当年财政拨款和以前年度结转资金安排的实际支出。</w:t>
            </w:r>
          </w:p>
          <w:p w14:paraId="17078F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2.本部门本年度无相关支出，按要求空表列示。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B19DC9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ED40EA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6F2A018A">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ascii="Times New Roman" w:eastAsia="仿宋_GB2312"/>
          <w:b w:val="0"/>
          <w:sz w:val="32"/>
          <w:szCs w:val="32"/>
        </w:rPr>
        <w:t>本部门2025年度收、支总计（含结转和结余）均为217.20万元。与2024年度决算相比，收支各增加179.89万元，增长482.1%，主要原因是</w:t>
      </w:r>
      <w:r>
        <w:rPr>
          <w:rFonts w:hint="eastAsia" w:ascii="Times New Roman" w:eastAsia="仿宋_GB2312"/>
          <w:b w:val="0"/>
          <w:sz w:val="32"/>
          <w:szCs w:val="32"/>
          <w:lang w:val="en-US" w:eastAsia="zh-CN"/>
        </w:rPr>
        <w:t>我部门为</w:t>
      </w:r>
      <w:r>
        <w:rPr>
          <w:rFonts w:hint="eastAsia" w:ascii="Times New Roman" w:eastAsia="仿宋_GB2312"/>
          <w:b w:val="0"/>
          <w:sz w:val="32"/>
          <w:szCs w:val="32"/>
          <w:highlight w:val="none"/>
          <w:lang w:val="en-US" w:eastAsia="zh-CN"/>
        </w:rPr>
        <w:t>2024年</w:t>
      </w:r>
      <w:r>
        <w:rPr>
          <w:rFonts w:hint="eastAsia" w:ascii="Times New Roman" w:eastAsia="仿宋_GB2312"/>
          <w:b w:val="0"/>
          <w:sz w:val="32"/>
          <w:szCs w:val="32"/>
          <w:lang w:val="en-US" w:eastAsia="zh-CN"/>
        </w:rPr>
        <w:t>新成立部门，</w:t>
      </w:r>
      <w:r>
        <w:rPr>
          <w:rFonts w:ascii="Times New Roman" w:eastAsia="仿宋_GB2312"/>
          <w:b w:val="0"/>
          <w:sz w:val="32"/>
          <w:szCs w:val="32"/>
        </w:rPr>
        <w:t>人员经费</w:t>
      </w:r>
      <w:r>
        <w:rPr>
          <w:rFonts w:hint="eastAsia" w:ascii="Times New Roman" w:eastAsia="仿宋_GB2312"/>
          <w:b w:val="0"/>
          <w:sz w:val="32"/>
          <w:szCs w:val="32"/>
          <w:lang w:val="en-US" w:eastAsia="zh-CN"/>
        </w:rPr>
        <w:t>自2024年11月开始支出，仅有</w:t>
      </w:r>
      <w:r>
        <w:rPr>
          <w:rFonts w:ascii="Times New Roman" w:eastAsia="仿宋_GB2312"/>
          <w:b w:val="0"/>
          <w:sz w:val="32"/>
          <w:szCs w:val="32"/>
        </w:rPr>
        <w:t>11.54万元</w:t>
      </w:r>
      <w:r>
        <w:rPr>
          <w:rFonts w:hint="eastAsia" w:ascii="Times New Roman" w:eastAsia="仿宋_GB2312"/>
          <w:b w:val="0"/>
          <w:sz w:val="32"/>
          <w:szCs w:val="32"/>
          <w:lang w:val="en-US" w:eastAsia="zh-CN"/>
        </w:rPr>
        <w:t>，无项目预算</w:t>
      </w:r>
      <w:r>
        <w:rPr>
          <w:rFonts w:ascii="Times New Roman" w:eastAsia="仿宋_GB2312"/>
          <w:b w:val="0"/>
          <w:sz w:val="32"/>
          <w:szCs w:val="32"/>
        </w:rPr>
        <w:t>。</w:t>
      </w:r>
      <w:r>
        <w:rPr>
          <w:rFonts w:hint="eastAsia" w:ascii="Times New Roman" w:eastAsia="仿宋_GB2312"/>
          <w:b w:val="0"/>
          <w:sz w:val="32"/>
          <w:szCs w:val="32"/>
          <w:lang w:val="en-US" w:eastAsia="zh-CN"/>
        </w:rPr>
        <w:t>2025年人员经费支出116.02万元，项目支出88.44万元。</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29FA7F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4FF5E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本部门2025年度本年收入合计217.20万元，其中：财政拨款收入217.20万元，占100.0%。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E697A0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109E53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本部门2025年度本年支出合计217.20万元，其中：基本支出128.76万元，占59.3%；项目支出88.44万元，占40.7%。</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3CA041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5F25BA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BDAF5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本部门2025年度财政拨款收、支总计（含结转和结余）均为217.20万元。与2024年度相比，财政拨款收支各增加179.89万元，增长482.1%，主要原因是</w:t>
      </w:r>
      <w:r>
        <w:rPr>
          <w:rFonts w:hint="eastAsia" w:ascii="Times New Roman" w:eastAsia="仿宋_GB2312"/>
          <w:b w:val="0"/>
          <w:sz w:val="32"/>
          <w:szCs w:val="32"/>
        </w:rPr>
        <w:t>我部门为2024年新成立部门，人员经费自2024年11月开始支出，仅有11.54万元，无项目预算。2025年人员经费支出116.02万元，项目支出88.44万元</w:t>
      </w:r>
      <w:r>
        <w:rPr>
          <w:rFonts w:ascii="Times New Roman" w:eastAsia="仿宋_GB2312"/>
          <w:b w:val="0"/>
          <w:sz w:val="32"/>
          <w:szCs w:val="32"/>
        </w:rPr>
        <w:t>。</w:t>
      </w:r>
    </w:p>
    <w:p w14:paraId="35F603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本部门2025年度财政拨款本年收入217.20万元,比上年增加179.89万元，增长482.1%，主要原因是</w:t>
      </w:r>
      <w:r>
        <w:rPr>
          <w:rFonts w:hint="eastAsia" w:ascii="Times New Roman" w:eastAsia="仿宋_GB2312"/>
          <w:b w:val="0"/>
          <w:sz w:val="32"/>
          <w:szCs w:val="32"/>
          <w:lang w:val="en-US" w:eastAsia="zh-CN"/>
        </w:rPr>
        <w:t>我部门为</w:t>
      </w:r>
      <w:r>
        <w:rPr>
          <w:rFonts w:hint="eastAsia" w:ascii="Times New Roman" w:eastAsia="仿宋_GB2312"/>
          <w:b w:val="0"/>
          <w:sz w:val="32"/>
          <w:szCs w:val="32"/>
          <w:highlight w:val="none"/>
          <w:lang w:val="en-US" w:eastAsia="zh-CN"/>
        </w:rPr>
        <w:t>2024年</w:t>
      </w:r>
      <w:r>
        <w:rPr>
          <w:rFonts w:hint="eastAsia" w:ascii="Times New Roman" w:eastAsia="仿宋_GB2312"/>
          <w:b w:val="0"/>
          <w:sz w:val="32"/>
          <w:szCs w:val="32"/>
          <w:lang w:val="en-US" w:eastAsia="zh-CN"/>
        </w:rPr>
        <w:t>新成立部门，</w:t>
      </w:r>
      <w:r>
        <w:rPr>
          <w:rFonts w:ascii="Times New Roman" w:eastAsia="仿宋_GB2312"/>
          <w:b w:val="0"/>
          <w:sz w:val="32"/>
          <w:szCs w:val="32"/>
        </w:rPr>
        <w:t>人员经费</w:t>
      </w:r>
      <w:r>
        <w:rPr>
          <w:rFonts w:hint="eastAsia" w:ascii="Times New Roman" w:eastAsia="仿宋_GB2312"/>
          <w:b w:val="0"/>
          <w:sz w:val="32"/>
          <w:szCs w:val="32"/>
          <w:lang w:val="en-US" w:eastAsia="zh-CN"/>
        </w:rPr>
        <w:t>自2024年11月开始安排，仅有</w:t>
      </w:r>
      <w:r>
        <w:rPr>
          <w:rFonts w:ascii="Times New Roman" w:eastAsia="仿宋_GB2312"/>
          <w:b w:val="0"/>
          <w:sz w:val="32"/>
          <w:szCs w:val="32"/>
        </w:rPr>
        <w:t>11.54万元</w:t>
      </w:r>
      <w:r>
        <w:rPr>
          <w:rFonts w:hint="eastAsia" w:ascii="Times New Roman" w:eastAsia="仿宋_GB2312"/>
          <w:b w:val="0"/>
          <w:sz w:val="32"/>
          <w:szCs w:val="32"/>
          <w:lang w:val="en-US" w:eastAsia="zh-CN"/>
        </w:rPr>
        <w:t>，无项目预算</w:t>
      </w:r>
      <w:r>
        <w:rPr>
          <w:rFonts w:ascii="Times New Roman" w:eastAsia="仿宋_GB2312"/>
          <w:b w:val="0"/>
          <w:sz w:val="32"/>
          <w:szCs w:val="32"/>
        </w:rPr>
        <w:t>。</w:t>
      </w:r>
      <w:r>
        <w:rPr>
          <w:rFonts w:hint="eastAsia" w:ascii="Times New Roman" w:eastAsia="仿宋_GB2312"/>
          <w:b w:val="0"/>
          <w:sz w:val="32"/>
          <w:szCs w:val="32"/>
          <w:lang w:val="en-US" w:eastAsia="zh-CN"/>
        </w:rPr>
        <w:t>2025年财政拨付人员经费116.02万元，项目资金88.44万元</w:t>
      </w:r>
      <w:r>
        <w:rPr>
          <w:rFonts w:ascii="Times New Roman" w:eastAsia="仿宋_GB2312"/>
          <w:b w:val="0"/>
          <w:sz w:val="32"/>
          <w:szCs w:val="32"/>
        </w:rPr>
        <w:t>；本年支出217.20万元，比上年增加179.89万元，增长482.1%，主要原因是</w:t>
      </w:r>
      <w:r>
        <w:rPr>
          <w:rFonts w:hint="eastAsia" w:ascii="Times New Roman" w:eastAsia="仿宋_GB2312"/>
          <w:b w:val="0"/>
          <w:sz w:val="32"/>
          <w:szCs w:val="32"/>
          <w:lang w:val="en-US" w:eastAsia="zh-CN"/>
        </w:rPr>
        <w:t>我部门为</w:t>
      </w:r>
      <w:r>
        <w:rPr>
          <w:rFonts w:hint="eastAsia" w:ascii="Times New Roman" w:eastAsia="仿宋_GB2312"/>
          <w:b w:val="0"/>
          <w:sz w:val="32"/>
          <w:szCs w:val="32"/>
          <w:highlight w:val="none"/>
          <w:lang w:val="en-US" w:eastAsia="zh-CN"/>
        </w:rPr>
        <w:t>2024年</w:t>
      </w:r>
      <w:r>
        <w:rPr>
          <w:rFonts w:hint="eastAsia" w:ascii="Times New Roman" w:eastAsia="仿宋_GB2312"/>
          <w:b w:val="0"/>
          <w:sz w:val="32"/>
          <w:szCs w:val="32"/>
          <w:lang w:val="en-US" w:eastAsia="zh-CN"/>
        </w:rPr>
        <w:t>新成立部门，</w:t>
      </w:r>
      <w:r>
        <w:rPr>
          <w:rFonts w:ascii="Times New Roman" w:eastAsia="仿宋_GB2312"/>
          <w:b w:val="0"/>
          <w:sz w:val="32"/>
          <w:szCs w:val="32"/>
        </w:rPr>
        <w:t>人员经费</w:t>
      </w:r>
      <w:r>
        <w:rPr>
          <w:rFonts w:hint="eastAsia" w:ascii="Times New Roman" w:eastAsia="仿宋_GB2312"/>
          <w:b w:val="0"/>
          <w:sz w:val="32"/>
          <w:szCs w:val="32"/>
          <w:lang w:val="en-US" w:eastAsia="zh-CN"/>
        </w:rPr>
        <w:t>自2024年11月开始支出，仅有</w:t>
      </w:r>
      <w:r>
        <w:rPr>
          <w:rFonts w:ascii="Times New Roman" w:eastAsia="仿宋_GB2312"/>
          <w:b w:val="0"/>
          <w:sz w:val="32"/>
          <w:szCs w:val="32"/>
        </w:rPr>
        <w:t>11.54万元</w:t>
      </w:r>
      <w:r>
        <w:rPr>
          <w:rFonts w:hint="eastAsia" w:ascii="Times New Roman" w:eastAsia="仿宋_GB2312"/>
          <w:b w:val="0"/>
          <w:sz w:val="32"/>
          <w:szCs w:val="32"/>
          <w:lang w:val="en-US" w:eastAsia="zh-CN"/>
        </w:rPr>
        <w:t>，无项目预算</w:t>
      </w:r>
      <w:r>
        <w:rPr>
          <w:rFonts w:ascii="Times New Roman" w:eastAsia="仿宋_GB2312"/>
          <w:b w:val="0"/>
          <w:sz w:val="32"/>
          <w:szCs w:val="32"/>
        </w:rPr>
        <w:t>。</w:t>
      </w:r>
      <w:r>
        <w:rPr>
          <w:rFonts w:hint="eastAsia" w:ascii="Times New Roman" w:eastAsia="仿宋_GB2312"/>
          <w:b w:val="0"/>
          <w:sz w:val="32"/>
          <w:szCs w:val="32"/>
          <w:lang w:val="en-US" w:eastAsia="zh-CN"/>
        </w:rPr>
        <w:t>2025年人员经费支出116.02万元，项目支出88.44万元</w:t>
      </w:r>
      <w:r>
        <w:rPr>
          <w:rFonts w:ascii="Times New Roman" w:eastAsia="仿宋_GB2312"/>
          <w:b w:val="0"/>
          <w:sz w:val="32"/>
          <w:szCs w:val="32"/>
        </w:rPr>
        <w:t>。具体情况如下：</w:t>
      </w:r>
    </w:p>
    <w:p w14:paraId="720C131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highlight w:val="none"/>
        </w:rPr>
      </w:pPr>
      <w:r>
        <w:rPr>
          <w:rFonts w:ascii="Times New Roman" w:eastAsia="仿宋_GB2312"/>
          <w:b w:val="0"/>
          <w:sz w:val="32"/>
          <w:szCs w:val="32"/>
        </w:rPr>
        <w:t>1. 一般公共预算财政拨款本年收入217.20万元,比上年增加179.89万元，增长482.1%，主要原因是</w:t>
      </w:r>
      <w:r>
        <w:rPr>
          <w:rFonts w:hint="eastAsia" w:ascii="Times New Roman" w:eastAsia="仿宋_GB2312"/>
          <w:b w:val="0"/>
          <w:sz w:val="32"/>
          <w:szCs w:val="32"/>
          <w:lang w:val="en-US" w:eastAsia="zh-CN"/>
        </w:rPr>
        <w:t>我部门为</w:t>
      </w:r>
      <w:r>
        <w:rPr>
          <w:rFonts w:hint="eastAsia" w:ascii="Times New Roman" w:eastAsia="仿宋_GB2312"/>
          <w:b w:val="0"/>
          <w:sz w:val="32"/>
          <w:szCs w:val="32"/>
          <w:highlight w:val="none"/>
          <w:lang w:val="en-US" w:eastAsia="zh-CN"/>
        </w:rPr>
        <w:t>2024年</w:t>
      </w:r>
      <w:r>
        <w:rPr>
          <w:rFonts w:hint="eastAsia" w:ascii="Times New Roman" w:eastAsia="仿宋_GB2312"/>
          <w:b w:val="0"/>
          <w:sz w:val="32"/>
          <w:szCs w:val="32"/>
          <w:lang w:val="en-US" w:eastAsia="zh-CN"/>
        </w:rPr>
        <w:t>新成立部门，</w:t>
      </w:r>
      <w:r>
        <w:rPr>
          <w:rFonts w:ascii="Times New Roman" w:eastAsia="仿宋_GB2312"/>
          <w:b w:val="0"/>
          <w:sz w:val="32"/>
          <w:szCs w:val="32"/>
        </w:rPr>
        <w:t>人员经费</w:t>
      </w:r>
      <w:r>
        <w:rPr>
          <w:rFonts w:hint="eastAsia" w:ascii="Times New Roman" w:eastAsia="仿宋_GB2312"/>
          <w:b w:val="0"/>
          <w:sz w:val="32"/>
          <w:szCs w:val="32"/>
          <w:lang w:val="en-US" w:eastAsia="zh-CN"/>
        </w:rPr>
        <w:t>自2024年11月开始安排，仅有</w:t>
      </w:r>
      <w:r>
        <w:rPr>
          <w:rFonts w:ascii="Times New Roman" w:eastAsia="仿宋_GB2312"/>
          <w:b w:val="0"/>
          <w:sz w:val="32"/>
          <w:szCs w:val="32"/>
        </w:rPr>
        <w:t>11.54万元</w:t>
      </w:r>
      <w:r>
        <w:rPr>
          <w:rFonts w:hint="eastAsia" w:ascii="Times New Roman" w:eastAsia="仿宋_GB2312"/>
          <w:b w:val="0"/>
          <w:sz w:val="32"/>
          <w:szCs w:val="32"/>
          <w:lang w:val="en-US" w:eastAsia="zh-CN"/>
        </w:rPr>
        <w:t>，无项目预算</w:t>
      </w:r>
      <w:r>
        <w:rPr>
          <w:rFonts w:ascii="Times New Roman" w:eastAsia="仿宋_GB2312"/>
          <w:b w:val="0"/>
          <w:sz w:val="32"/>
          <w:szCs w:val="32"/>
        </w:rPr>
        <w:t>。</w:t>
      </w:r>
      <w:r>
        <w:rPr>
          <w:rFonts w:hint="eastAsia" w:ascii="Times New Roman" w:eastAsia="仿宋_GB2312"/>
          <w:b w:val="0"/>
          <w:sz w:val="32"/>
          <w:szCs w:val="32"/>
          <w:lang w:val="en-US" w:eastAsia="zh-CN"/>
        </w:rPr>
        <w:t>2025年财政拨付人员经费116.02万元，项目资金88.44万元</w:t>
      </w:r>
      <w:r>
        <w:rPr>
          <w:rFonts w:ascii="Times New Roman" w:eastAsia="仿宋_GB2312"/>
          <w:b w:val="0"/>
          <w:sz w:val="32"/>
          <w:szCs w:val="32"/>
        </w:rPr>
        <w:t>；本年支出217.20万元，比上年增加179.89万元，增长482.1%，主要原因是</w:t>
      </w:r>
      <w:r>
        <w:rPr>
          <w:rFonts w:hint="eastAsia" w:ascii="Times New Roman" w:eastAsia="仿宋_GB2312"/>
          <w:b w:val="0"/>
          <w:sz w:val="32"/>
          <w:szCs w:val="32"/>
          <w:lang w:val="en-US" w:eastAsia="zh-CN"/>
        </w:rPr>
        <w:t>我部门为</w:t>
      </w:r>
      <w:r>
        <w:rPr>
          <w:rFonts w:hint="eastAsia" w:ascii="Times New Roman" w:eastAsia="仿宋_GB2312"/>
          <w:b w:val="0"/>
          <w:sz w:val="32"/>
          <w:szCs w:val="32"/>
          <w:highlight w:val="none"/>
          <w:lang w:val="en-US" w:eastAsia="zh-CN"/>
        </w:rPr>
        <w:t>2024年</w:t>
      </w:r>
      <w:r>
        <w:rPr>
          <w:rFonts w:hint="eastAsia" w:ascii="Times New Roman" w:eastAsia="仿宋_GB2312"/>
          <w:b w:val="0"/>
          <w:sz w:val="32"/>
          <w:szCs w:val="32"/>
          <w:lang w:val="en-US" w:eastAsia="zh-CN"/>
        </w:rPr>
        <w:t>新成立部门，</w:t>
      </w:r>
      <w:r>
        <w:rPr>
          <w:rFonts w:ascii="Times New Roman" w:eastAsia="仿宋_GB2312"/>
          <w:b w:val="0"/>
          <w:sz w:val="32"/>
          <w:szCs w:val="32"/>
        </w:rPr>
        <w:t>人员经费</w:t>
      </w:r>
      <w:r>
        <w:rPr>
          <w:rFonts w:hint="eastAsia" w:ascii="Times New Roman" w:eastAsia="仿宋_GB2312"/>
          <w:b w:val="0"/>
          <w:sz w:val="32"/>
          <w:szCs w:val="32"/>
          <w:lang w:val="en-US" w:eastAsia="zh-CN"/>
        </w:rPr>
        <w:t>自2024年11月开始支出，仅有</w:t>
      </w:r>
      <w:r>
        <w:rPr>
          <w:rFonts w:ascii="Times New Roman" w:eastAsia="仿宋_GB2312"/>
          <w:b w:val="0"/>
          <w:sz w:val="32"/>
          <w:szCs w:val="32"/>
        </w:rPr>
        <w:t>11.54万元</w:t>
      </w:r>
      <w:r>
        <w:rPr>
          <w:rFonts w:hint="eastAsia" w:ascii="Times New Roman" w:eastAsia="仿宋_GB2312"/>
          <w:b w:val="0"/>
          <w:sz w:val="32"/>
          <w:szCs w:val="32"/>
          <w:lang w:val="en-US" w:eastAsia="zh-CN"/>
        </w:rPr>
        <w:t>，无项目预算</w:t>
      </w:r>
      <w:r>
        <w:rPr>
          <w:rFonts w:ascii="Times New Roman" w:eastAsia="仿宋_GB2312"/>
          <w:b w:val="0"/>
          <w:sz w:val="32"/>
          <w:szCs w:val="32"/>
        </w:rPr>
        <w:t>。</w:t>
      </w:r>
      <w:r>
        <w:rPr>
          <w:rFonts w:hint="eastAsia" w:ascii="Times New Roman" w:eastAsia="仿宋_GB2312"/>
          <w:b w:val="0"/>
          <w:sz w:val="32"/>
          <w:szCs w:val="32"/>
          <w:lang w:val="en-US" w:eastAsia="zh-CN"/>
        </w:rPr>
        <w:t>2025年人员经费支出116.02万元，项</w:t>
      </w:r>
      <w:bookmarkStart w:id="0" w:name="_GoBack"/>
      <w:r>
        <w:rPr>
          <w:rFonts w:hint="eastAsia" w:ascii="Times New Roman" w:eastAsia="仿宋_GB2312"/>
          <w:b w:val="0"/>
          <w:sz w:val="32"/>
          <w:szCs w:val="32"/>
          <w:highlight w:val="none"/>
          <w:lang w:val="en-US" w:eastAsia="zh-CN"/>
        </w:rPr>
        <w:t>目支出88.44万元</w:t>
      </w:r>
      <w:r>
        <w:rPr>
          <w:rFonts w:ascii="Times New Roman" w:eastAsia="仿宋_GB2312"/>
          <w:b w:val="0"/>
          <w:sz w:val="32"/>
          <w:szCs w:val="32"/>
          <w:highlight w:val="none"/>
        </w:rPr>
        <w:t>。</w:t>
      </w:r>
    </w:p>
    <w:p w14:paraId="19A09D88">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2. 政府性基金预算财政拨款本年收入0.00万元，比上年增加0.00万元，增长0.00%，主要原因是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无政府性基金预算财政拨款收入</w:t>
      </w:r>
      <w:r>
        <w:rPr>
          <w:rFonts w:ascii="Times New Roman" w:eastAsia="仿宋_GB2312"/>
          <w:b w:val="0"/>
          <w:sz w:val="32"/>
          <w:szCs w:val="32"/>
          <w:highlight w:val="none"/>
        </w:rPr>
        <w:t>；本年支出0.00万元，比上年增加0.00万元，增长0.00%，主要原因是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无政府性基金预算财政拨款</w:t>
      </w:r>
      <w:r>
        <w:rPr>
          <w:rFonts w:hint="eastAsia" w:ascii="Times New Roman" w:eastAsia="仿宋_GB2312"/>
          <w:b w:val="0"/>
          <w:sz w:val="32"/>
          <w:szCs w:val="32"/>
          <w:highlight w:val="none"/>
          <w:lang w:val="en-US" w:eastAsia="zh-CN"/>
        </w:rPr>
        <w:t>支出</w:t>
      </w:r>
      <w:r>
        <w:rPr>
          <w:rFonts w:ascii="Times New Roman" w:eastAsia="仿宋_GB2312"/>
          <w:b w:val="0"/>
          <w:sz w:val="32"/>
          <w:szCs w:val="32"/>
          <w:highlight w:val="none"/>
        </w:rPr>
        <w:t>。</w:t>
      </w:r>
    </w:p>
    <w:p w14:paraId="5FDE7CA4">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3. 国有资本经营预算财政拨款本年收入0.00万元，比上年增加0.00万元，增长0.00%，主要原因是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无国有资本经营预算财政拨款收入</w:t>
      </w:r>
      <w:r>
        <w:rPr>
          <w:rFonts w:ascii="Times New Roman" w:eastAsia="仿宋_GB2312"/>
          <w:b w:val="0"/>
          <w:sz w:val="32"/>
          <w:szCs w:val="32"/>
          <w:highlight w:val="none"/>
        </w:rPr>
        <w:t>；本年支出0.00万元，比上年增加0.00万元，增长0.00%，主要原因是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无国有资本经营预算财政拨款</w:t>
      </w:r>
      <w:r>
        <w:rPr>
          <w:rFonts w:hint="eastAsia" w:ascii="Times New Roman" w:eastAsia="仿宋_GB2312"/>
          <w:b w:val="0"/>
          <w:sz w:val="32"/>
          <w:szCs w:val="32"/>
          <w:highlight w:val="none"/>
          <w:lang w:val="en-US" w:eastAsia="zh-CN"/>
        </w:rPr>
        <w:t>支出</w:t>
      </w:r>
      <w:r>
        <w:rPr>
          <w:rFonts w:ascii="Times New Roman" w:eastAsia="仿宋_GB2312"/>
          <w:b w:val="0"/>
          <w:sz w:val="32"/>
          <w:szCs w:val="32"/>
          <w:highlight w:val="none"/>
        </w:rPr>
        <w:t>。</w:t>
      </w:r>
    </w:p>
    <w:bookmarkEnd w:id="0"/>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8096C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40D25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本部门2025年度财政拨款本年收入217.20万元，完成年初预算的134.1%，比年初预算增加55.29万元，决算数大于预算数主要原因是</w:t>
      </w:r>
      <w:r>
        <w:rPr>
          <w:rFonts w:hint="eastAsia" w:ascii="Times New Roman" w:eastAsia="仿宋_GB2312"/>
          <w:b w:val="0"/>
          <w:sz w:val="32"/>
          <w:szCs w:val="32"/>
          <w:lang w:val="en-US" w:eastAsia="zh-CN"/>
        </w:rPr>
        <w:t>补列</w:t>
      </w:r>
      <w:r>
        <w:rPr>
          <w:rFonts w:hint="eastAsia" w:ascii="Times New Roman" w:eastAsia="仿宋_GB2312"/>
          <w:b w:val="0"/>
          <w:sz w:val="32"/>
          <w:szCs w:val="32"/>
        </w:rPr>
        <w:t>社区建设补助资金</w:t>
      </w:r>
      <w:r>
        <w:rPr>
          <w:rFonts w:hint="eastAsia" w:ascii="Times New Roman" w:eastAsia="仿宋_GB2312"/>
          <w:b w:val="0"/>
          <w:sz w:val="32"/>
          <w:szCs w:val="32"/>
          <w:lang w:val="en-US" w:eastAsia="zh-CN"/>
        </w:rPr>
        <w:t>项目预算3个</w:t>
      </w:r>
      <w:r>
        <w:rPr>
          <w:rFonts w:hint="eastAsia" w:ascii="Times New Roman" w:eastAsia="仿宋_GB2312"/>
          <w:b w:val="0"/>
          <w:sz w:val="32"/>
          <w:szCs w:val="32"/>
        </w:rPr>
        <w:t>（湘连口、贾家务</w:t>
      </w:r>
      <w:r>
        <w:rPr>
          <w:rFonts w:hint="eastAsia" w:ascii="Times New Roman" w:eastAsia="仿宋_GB2312"/>
          <w:b w:val="0"/>
          <w:sz w:val="32"/>
          <w:szCs w:val="32"/>
          <w:lang w:eastAsia="zh-CN"/>
        </w:rPr>
        <w:t>、</w:t>
      </w:r>
      <w:r>
        <w:rPr>
          <w:rFonts w:hint="eastAsia" w:ascii="Times New Roman" w:eastAsia="仿宋_GB2312"/>
          <w:b w:val="0"/>
          <w:sz w:val="32"/>
          <w:szCs w:val="32"/>
        </w:rPr>
        <w:t>西陶口）</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合计50万元</w:t>
      </w:r>
      <w:r>
        <w:rPr>
          <w:rFonts w:ascii="Times New Roman" w:eastAsia="仿宋_GB2312"/>
          <w:b w:val="0"/>
          <w:sz w:val="32"/>
          <w:szCs w:val="32"/>
        </w:rPr>
        <w:t>；本年支出217.20万元，完成年初预算的134.1%，比年初预算增加55.29万元，决算数大于预算数主要原因是</w:t>
      </w:r>
      <w:r>
        <w:rPr>
          <w:rFonts w:hint="eastAsia" w:ascii="Times New Roman" w:eastAsia="仿宋_GB2312"/>
          <w:b w:val="0"/>
          <w:sz w:val="32"/>
          <w:szCs w:val="32"/>
          <w:lang w:val="en-US" w:eastAsia="zh-CN"/>
        </w:rPr>
        <w:t>补列</w:t>
      </w:r>
      <w:r>
        <w:rPr>
          <w:rFonts w:hint="eastAsia" w:ascii="Times New Roman" w:eastAsia="仿宋_GB2312"/>
          <w:b w:val="0"/>
          <w:sz w:val="32"/>
          <w:szCs w:val="32"/>
        </w:rPr>
        <w:t>社区建设补助资金</w:t>
      </w:r>
      <w:r>
        <w:rPr>
          <w:rFonts w:hint="eastAsia" w:ascii="Times New Roman" w:eastAsia="仿宋_GB2312"/>
          <w:b w:val="0"/>
          <w:sz w:val="32"/>
          <w:szCs w:val="32"/>
          <w:lang w:val="en-US" w:eastAsia="zh-CN"/>
        </w:rPr>
        <w:t>项目预算3个</w:t>
      </w:r>
      <w:r>
        <w:rPr>
          <w:rFonts w:hint="eastAsia" w:ascii="Times New Roman" w:eastAsia="仿宋_GB2312"/>
          <w:b w:val="0"/>
          <w:sz w:val="32"/>
          <w:szCs w:val="32"/>
        </w:rPr>
        <w:t>（湘连口、贾家务</w:t>
      </w:r>
      <w:r>
        <w:rPr>
          <w:rFonts w:hint="eastAsia" w:ascii="Times New Roman" w:eastAsia="仿宋_GB2312"/>
          <w:b w:val="0"/>
          <w:sz w:val="32"/>
          <w:szCs w:val="32"/>
          <w:lang w:eastAsia="zh-CN"/>
        </w:rPr>
        <w:t>、</w:t>
      </w:r>
      <w:r>
        <w:rPr>
          <w:rFonts w:hint="eastAsia" w:ascii="Times New Roman" w:eastAsia="仿宋_GB2312"/>
          <w:b w:val="0"/>
          <w:sz w:val="32"/>
          <w:szCs w:val="32"/>
        </w:rPr>
        <w:t>西陶口）</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合计50万元。</w:t>
      </w:r>
      <w:r>
        <w:rPr>
          <w:rFonts w:ascii="Times New Roman" w:eastAsia="仿宋_GB2312"/>
          <w:b w:val="0"/>
          <w:sz w:val="32"/>
          <w:szCs w:val="32"/>
        </w:rPr>
        <w:t>具体情况如下：</w:t>
      </w:r>
    </w:p>
    <w:p w14:paraId="15528C4E">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1. 一般公共预算财政拨款本年收入完成年初预算的134.1%，比年初预算增加55.29万元，主要原因是</w:t>
      </w:r>
      <w:r>
        <w:rPr>
          <w:rFonts w:hint="eastAsia" w:ascii="Times New Roman" w:eastAsia="仿宋_GB2312"/>
          <w:b w:val="0"/>
          <w:sz w:val="32"/>
          <w:szCs w:val="32"/>
          <w:lang w:val="en-US" w:eastAsia="zh-CN"/>
        </w:rPr>
        <w:t>补列</w:t>
      </w:r>
      <w:r>
        <w:rPr>
          <w:rFonts w:hint="eastAsia" w:ascii="Times New Roman" w:eastAsia="仿宋_GB2312"/>
          <w:b w:val="0"/>
          <w:sz w:val="32"/>
          <w:szCs w:val="32"/>
        </w:rPr>
        <w:t>社区建设补助资金</w:t>
      </w:r>
      <w:r>
        <w:rPr>
          <w:rFonts w:hint="eastAsia" w:ascii="Times New Roman" w:eastAsia="仿宋_GB2312"/>
          <w:b w:val="0"/>
          <w:sz w:val="32"/>
          <w:szCs w:val="32"/>
          <w:lang w:val="en-US" w:eastAsia="zh-CN"/>
        </w:rPr>
        <w:t>项目预算3个</w:t>
      </w:r>
      <w:r>
        <w:rPr>
          <w:rFonts w:hint="eastAsia" w:ascii="Times New Roman" w:eastAsia="仿宋_GB2312"/>
          <w:b w:val="0"/>
          <w:sz w:val="32"/>
          <w:szCs w:val="32"/>
        </w:rPr>
        <w:t>（湘连口、贾家务</w:t>
      </w:r>
      <w:r>
        <w:rPr>
          <w:rFonts w:hint="eastAsia" w:ascii="Times New Roman" w:eastAsia="仿宋_GB2312"/>
          <w:b w:val="0"/>
          <w:sz w:val="32"/>
          <w:szCs w:val="32"/>
          <w:lang w:eastAsia="zh-CN"/>
        </w:rPr>
        <w:t>、</w:t>
      </w:r>
      <w:r>
        <w:rPr>
          <w:rFonts w:hint="eastAsia" w:ascii="Times New Roman" w:eastAsia="仿宋_GB2312"/>
          <w:b w:val="0"/>
          <w:sz w:val="32"/>
          <w:szCs w:val="32"/>
        </w:rPr>
        <w:t>西陶口）</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合计50万元</w:t>
      </w:r>
      <w:r>
        <w:rPr>
          <w:rFonts w:ascii="Times New Roman" w:eastAsia="仿宋_GB2312"/>
          <w:b w:val="0"/>
          <w:sz w:val="32"/>
          <w:szCs w:val="32"/>
        </w:rPr>
        <w:t>；支出完成年初预算的134.1%，比年初预算增加55.29万元，主要原因是</w:t>
      </w:r>
      <w:r>
        <w:rPr>
          <w:rFonts w:hint="eastAsia" w:ascii="Times New Roman" w:eastAsia="仿宋_GB2312"/>
          <w:b w:val="0"/>
          <w:sz w:val="32"/>
          <w:szCs w:val="32"/>
          <w:lang w:val="en-US" w:eastAsia="zh-CN"/>
        </w:rPr>
        <w:t>补列</w:t>
      </w:r>
      <w:r>
        <w:rPr>
          <w:rFonts w:hint="eastAsia" w:ascii="Times New Roman" w:eastAsia="仿宋_GB2312"/>
          <w:b w:val="0"/>
          <w:sz w:val="32"/>
          <w:szCs w:val="32"/>
        </w:rPr>
        <w:t>社区建设补助资金</w:t>
      </w:r>
      <w:r>
        <w:rPr>
          <w:rFonts w:hint="eastAsia" w:ascii="Times New Roman" w:eastAsia="仿宋_GB2312"/>
          <w:b w:val="0"/>
          <w:sz w:val="32"/>
          <w:szCs w:val="32"/>
          <w:lang w:val="en-US" w:eastAsia="zh-CN"/>
        </w:rPr>
        <w:t>项目预算3个</w:t>
      </w:r>
      <w:r>
        <w:rPr>
          <w:rFonts w:hint="eastAsia" w:ascii="Times New Roman" w:eastAsia="仿宋_GB2312"/>
          <w:b w:val="0"/>
          <w:sz w:val="32"/>
          <w:szCs w:val="32"/>
        </w:rPr>
        <w:t>（湘连口、贾家务</w:t>
      </w:r>
      <w:r>
        <w:rPr>
          <w:rFonts w:hint="eastAsia" w:ascii="Times New Roman" w:eastAsia="仿宋_GB2312"/>
          <w:b w:val="0"/>
          <w:sz w:val="32"/>
          <w:szCs w:val="32"/>
          <w:lang w:eastAsia="zh-CN"/>
        </w:rPr>
        <w:t>、</w:t>
      </w:r>
      <w:r>
        <w:rPr>
          <w:rFonts w:hint="eastAsia" w:ascii="Times New Roman" w:eastAsia="仿宋_GB2312"/>
          <w:b w:val="0"/>
          <w:sz w:val="32"/>
          <w:szCs w:val="32"/>
        </w:rPr>
        <w:t>西陶口）</w:t>
      </w:r>
      <w:r>
        <w:rPr>
          <w:rFonts w:hint="eastAsia" w:ascii="Times New Roman" w:eastAsia="仿宋_GB2312"/>
          <w:b w:val="0"/>
          <w:sz w:val="32"/>
          <w:szCs w:val="32"/>
          <w:lang w:eastAsia="zh-CN"/>
        </w:rPr>
        <w:t>，</w:t>
      </w:r>
      <w:r>
        <w:rPr>
          <w:rFonts w:hint="eastAsia" w:ascii="Times New Roman" w:eastAsia="仿宋_GB2312"/>
          <w:b w:val="0"/>
          <w:sz w:val="32"/>
          <w:szCs w:val="32"/>
          <w:highlight w:val="none"/>
          <w:lang w:val="en-US" w:eastAsia="zh-CN"/>
        </w:rPr>
        <w:t>合计50万元</w:t>
      </w:r>
      <w:r>
        <w:rPr>
          <w:rFonts w:ascii="Times New Roman" w:eastAsia="仿宋_GB2312"/>
          <w:b w:val="0"/>
          <w:sz w:val="32"/>
          <w:szCs w:val="32"/>
          <w:highlight w:val="none"/>
        </w:rPr>
        <w:t>。</w:t>
      </w:r>
    </w:p>
    <w:p w14:paraId="67267363">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2. 政府性基金预算财政拨款本年收入完成年初预算的0.0%，比年初预算增加0.00万元，主要原因是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无政府性基金预算财政拨款收入</w:t>
      </w:r>
      <w:r>
        <w:rPr>
          <w:rFonts w:ascii="Times New Roman" w:eastAsia="仿宋_GB2312"/>
          <w:b w:val="0"/>
          <w:sz w:val="32"/>
          <w:szCs w:val="32"/>
          <w:highlight w:val="none"/>
        </w:rPr>
        <w:t>；支出完成年初预算的0.0%，比年初预算增加0.00万元，主要原因是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无政府性基金预算财政拨款</w:t>
      </w:r>
      <w:r>
        <w:rPr>
          <w:rFonts w:hint="eastAsia" w:ascii="Times New Roman" w:eastAsia="仿宋_GB2312"/>
          <w:b w:val="0"/>
          <w:sz w:val="32"/>
          <w:szCs w:val="32"/>
          <w:highlight w:val="none"/>
          <w:lang w:val="en-US" w:eastAsia="zh-CN"/>
        </w:rPr>
        <w:t>支出</w:t>
      </w:r>
      <w:r>
        <w:rPr>
          <w:rFonts w:ascii="Times New Roman" w:eastAsia="仿宋_GB2312"/>
          <w:b w:val="0"/>
          <w:sz w:val="32"/>
          <w:szCs w:val="32"/>
          <w:highlight w:val="none"/>
        </w:rPr>
        <w:t>。</w:t>
      </w:r>
    </w:p>
    <w:p w14:paraId="28B1AA75">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3. 国有资本经营预算财政拨款本年收入完成年初预算的0.0%，比年初预算增加0.00万元，主要原因是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无国有资本经营预算财政拨款收入</w:t>
      </w:r>
      <w:r>
        <w:rPr>
          <w:rFonts w:ascii="Times New Roman" w:eastAsia="仿宋_GB2312"/>
          <w:b w:val="0"/>
          <w:sz w:val="32"/>
          <w:szCs w:val="32"/>
          <w:highlight w:val="none"/>
        </w:rPr>
        <w:t>；支出完成年初预算的0.0%，比年初预算增加0.00万元，主要原因是</w:t>
      </w:r>
      <w:r>
        <w:rPr>
          <w:rFonts w:hint="eastAsia"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w:t>
      </w:r>
      <w:r>
        <w:rPr>
          <w:rFonts w:hint="eastAsia" w:ascii="Times New Roman" w:eastAsia="仿宋_GB2312"/>
          <w:b w:val="0"/>
          <w:sz w:val="32"/>
          <w:szCs w:val="32"/>
          <w:highlight w:val="none"/>
          <w:lang w:val="en-US" w:eastAsia="zh-CN"/>
        </w:rPr>
        <w:t>和2024年度</w:t>
      </w:r>
      <w:r>
        <w:rPr>
          <w:rFonts w:hint="eastAsia" w:ascii="Times New Roman" w:eastAsia="仿宋_GB2312"/>
          <w:b w:val="0"/>
          <w:sz w:val="32"/>
          <w:szCs w:val="32"/>
          <w:highlight w:val="none"/>
        </w:rPr>
        <w:t>无国有资本经营预算财政拨款</w:t>
      </w:r>
      <w:r>
        <w:rPr>
          <w:rFonts w:hint="eastAsia" w:ascii="Times New Roman" w:eastAsia="仿宋_GB2312"/>
          <w:b w:val="0"/>
          <w:sz w:val="32"/>
          <w:szCs w:val="32"/>
          <w:highlight w:val="none"/>
          <w:lang w:val="en-US" w:eastAsia="zh-CN"/>
        </w:rPr>
        <w:t>支出</w:t>
      </w:r>
      <w:r>
        <w:rPr>
          <w:rFonts w:ascii="Times New Roman" w:eastAsia="仿宋_GB2312"/>
          <w:b w:val="0"/>
          <w:sz w:val="32"/>
          <w:szCs w:val="32"/>
          <w:highlight w:val="none"/>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1AC12D1">
      <w:pPr>
        <w:widowControl/>
        <w:spacing w:before="0" w:beforeLines="0" w:beforeAutospacing="0" w:after="0" w:afterLines="0" w:afterAutospacing="0" w:line="360" w:lineRule="auto"/>
        <w:ind w:firstLine="643" w:firstLineChars="200"/>
        <w:jc w:val="left"/>
        <w:rPr>
          <w:rFonts w:ascii="Times New Roman" w:eastAsia="楷体_GB2312"/>
          <w:sz w:val="32"/>
          <w:szCs w:val="32"/>
          <w:highlight w:val="none"/>
        </w:rPr>
      </w:pPr>
      <w:r>
        <w:rPr>
          <w:rFonts w:ascii="Times New Roman" w:eastAsia="楷体_GB2312"/>
          <w:b/>
          <w:sz w:val="32"/>
          <w:szCs w:val="32"/>
          <w:highlight w:val="none"/>
        </w:rPr>
        <w:t>（三）财政拨款支出决算结构情况</w:t>
      </w:r>
    </w:p>
    <w:p w14:paraId="6648490F">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2025年度财政拨款支出217.20万元，主要用于以下方面：</w:t>
      </w:r>
    </w:p>
    <w:p w14:paraId="65091E63">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仿宋_GB2312"/>
          <w:b/>
          <w:sz w:val="32"/>
          <w:szCs w:val="32"/>
          <w:highlight w:val="none"/>
        </w:rPr>
        <w:t>一般公共预算财政拨款支出：</w:t>
      </w:r>
    </w:p>
    <w:p w14:paraId="1455F1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highlight w:val="none"/>
        </w:rPr>
        <w:t>一般公共服务（类）支出186.39万元，占85.8%，主要用于基本工资、津贴补贴、奖金、办公费、邮电费、租赁费、劳务费、其他交通费用、其他商品和服务支出等支出；</w:t>
      </w:r>
      <w:r>
        <w:rPr>
          <w:rFonts w:ascii="Times New Roman" w:eastAsia="仿宋_GB2312"/>
          <w:b w:val="0"/>
          <w:sz w:val="32"/>
          <w:szCs w:val="32"/>
          <w:highlight w:val="none"/>
        </w:rPr>
        <w:t>社会保障和就业 （类）支出18.24万元，占8.4%，主要用于</w:t>
      </w:r>
      <w:r>
        <w:rPr>
          <w:rFonts w:hint="eastAsia" w:ascii="Times New Roman" w:eastAsia="仿宋_GB2312"/>
          <w:b w:val="0"/>
          <w:sz w:val="32"/>
          <w:szCs w:val="32"/>
          <w:highlight w:val="none"/>
        </w:rPr>
        <w:t>机关事业部门基本养老保险缴费、其他社会保障缴费等</w:t>
      </w:r>
      <w:r>
        <w:rPr>
          <w:rFonts w:ascii="Times New Roman" w:eastAsia="仿宋_GB2312"/>
          <w:b w:val="0"/>
          <w:sz w:val="32"/>
          <w:szCs w:val="32"/>
          <w:highlight w:val="none"/>
        </w:rPr>
        <w:t>支出；</w:t>
      </w:r>
      <w:r>
        <w:rPr>
          <w:rFonts w:hint="eastAsia" w:ascii="Times New Roman" w:eastAsia="仿宋_GB2312"/>
          <w:b w:val="0"/>
          <w:sz w:val="32"/>
          <w:szCs w:val="32"/>
          <w:highlight w:val="none"/>
        </w:rPr>
        <w:t>卫生健康（类）支出5.06万元，占2.3%，主要用于职工基本医疗保险缴费等支出；</w:t>
      </w:r>
      <w:r>
        <w:rPr>
          <w:rFonts w:ascii="Times New Roman" w:eastAsia="仿宋_GB2312"/>
          <w:b w:val="0"/>
          <w:sz w:val="32"/>
          <w:szCs w:val="32"/>
          <w:highlight w:val="none"/>
        </w:rPr>
        <w:t>住房保障（类）支出7.52万元，占3.5%，主要用于</w:t>
      </w:r>
      <w:r>
        <w:rPr>
          <w:rFonts w:hint="eastAsia" w:ascii="Times New Roman" w:eastAsia="仿宋_GB2312"/>
          <w:b w:val="0"/>
          <w:sz w:val="32"/>
          <w:szCs w:val="32"/>
          <w:highlight w:val="none"/>
        </w:rPr>
        <w:t>住房公积金等</w:t>
      </w:r>
      <w:r>
        <w:rPr>
          <w:rFonts w:ascii="Times New Roman" w:eastAsia="仿宋_GB2312"/>
          <w:b w:val="0"/>
          <w:sz w:val="32"/>
          <w:szCs w:val="32"/>
          <w:highlight w:val="none"/>
        </w:rPr>
        <w:t>支出。</w:t>
      </w:r>
    </w:p>
    <w:p w14:paraId="5D5D02EF">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仿宋_GB2312"/>
          <w:b/>
          <w:sz w:val="32"/>
          <w:szCs w:val="32"/>
          <w:highlight w:val="none"/>
        </w:rPr>
        <w:t>政府性基金预算财政拨款支出：</w:t>
      </w:r>
    </w:p>
    <w:p w14:paraId="2987A2AC">
      <w:pPr>
        <w:widowControl/>
        <w:spacing w:before="0" w:beforeLines="0" w:beforeAutospacing="0" w:after="0" w:afterLines="0" w:afterAutospacing="0" w:line="360" w:lineRule="auto"/>
        <w:ind w:firstLine="640" w:firstLineChars="200"/>
        <w:jc w:val="left"/>
        <w:rPr>
          <w:rFonts w:ascii="Times New Roman" w:eastAsia="仿宋_GB2312"/>
          <w:b w:val="0"/>
          <w:sz w:val="32"/>
          <w:szCs w:val="32"/>
          <w:highlight w:val="none"/>
        </w:rPr>
      </w:pPr>
    </w:p>
    <w:p w14:paraId="6A0EAB9F">
      <w:pPr>
        <w:widowControl/>
        <w:spacing w:before="0" w:beforeLines="0" w:beforeAutospacing="0" w:after="0" w:afterLines="0" w:afterAutospacing="0" w:line="360" w:lineRule="auto"/>
        <w:ind w:firstLine="640" w:firstLineChars="200"/>
        <w:jc w:val="left"/>
        <w:rPr>
          <w:rFonts w:ascii="Times New Roman" w:eastAsia="仿宋_GB2312"/>
          <w:b w:val="0"/>
          <w:sz w:val="32"/>
          <w:szCs w:val="32"/>
          <w:highlight w:val="none"/>
        </w:rPr>
      </w:pPr>
      <w:r>
        <w:rPr>
          <w:rFonts w:hint="eastAsia" w:ascii="Times New Roman" w:eastAsia="仿宋_GB2312"/>
          <w:b w:val="0"/>
          <w:sz w:val="32"/>
          <w:szCs w:val="32"/>
          <w:highlight w:val="none"/>
        </w:rPr>
        <w:t>我部门202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年度政府性基金预算财政拨款支出为0万元。</w:t>
      </w:r>
    </w:p>
    <w:p w14:paraId="0A8E03A3">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仿宋_GB2312"/>
          <w:b/>
          <w:sz w:val="32"/>
          <w:szCs w:val="32"/>
          <w:highlight w:val="none"/>
        </w:rPr>
        <w:t>国有资本经营预算财政拨款支出：</w:t>
      </w:r>
    </w:p>
    <w:p w14:paraId="6A477F0D">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hint="eastAsia" w:ascii="Times New Roman" w:eastAsia="仿宋_GB2312"/>
          <w:b w:val="0"/>
          <w:sz w:val="32"/>
          <w:szCs w:val="32"/>
          <w:highlight w:val="none"/>
        </w:rPr>
        <w:t>我部门202</w:t>
      </w:r>
      <w:r>
        <w:rPr>
          <w:rFonts w:hint="eastAsia" w:ascii="Times New Roman" w:eastAsia="仿宋_GB2312"/>
          <w:b w:val="0"/>
          <w:sz w:val="32"/>
          <w:szCs w:val="32"/>
          <w:highlight w:val="none"/>
          <w:lang w:val="en-US" w:eastAsia="zh-CN"/>
        </w:rPr>
        <w:t>5</w:t>
      </w:r>
      <w:r>
        <w:rPr>
          <w:rFonts w:hint="eastAsia" w:ascii="Times New Roman" w:eastAsia="仿宋_GB2312"/>
          <w:b w:val="0"/>
          <w:sz w:val="32"/>
          <w:szCs w:val="32"/>
          <w:highlight w:val="none"/>
        </w:rPr>
        <w:t>年度国有资本经营预算财政拨款支出为0万元。</w:t>
      </w:r>
    </w:p>
    <w:p w14:paraId="2B2F470E">
      <w:pPr>
        <w:widowControl/>
        <w:spacing w:before="0" w:beforeLines="0" w:beforeAutospacing="0" w:after="0" w:afterLines="0" w:afterAutospacing="0" w:line="360" w:lineRule="auto"/>
        <w:ind w:firstLine="643" w:firstLineChars="200"/>
        <w:jc w:val="left"/>
        <w:rPr>
          <w:rFonts w:ascii="Times New Roman" w:eastAsia="楷体_GB2312"/>
          <w:sz w:val="32"/>
          <w:szCs w:val="32"/>
          <w:highlight w:val="none"/>
        </w:rPr>
      </w:pPr>
      <w:r>
        <w:rPr>
          <w:rFonts w:ascii="Times New Roman" w:eastAsia="楷体_GB2312"/>
          <w:b/>
          <w:sz w:val="32"/>
          <w:szCs w:val="32"/>
          <w:highlight w:val="none"/>
        </w:rPr>
        <w:t>（四）一般公共预算财政拨款基本支出决算情况说明</w:t>
      </w:r>
    </w:p>
    <w:p w14:paraId="480DABAB">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2025年度财政拨款基本支出128.76万元，其中：</w:t>
      </w:r>
    </w:p>
    <w:p w14:paraId="19676E09">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人员经费116.02万元，主要包括基本工资、津贴补贴、奖金、机关事业部门基本养老保险缴费、职工基本医疗保险缴费、住房公积金、其他社会保障缴</w:t>
      </w:r>
      <w:r>
        <w:rPr>
          <w:rFonts w:ascii="Times New Roman" w:eastAsia="仿宋_GB2312"/>
          <w:b w:val="0"/>
          <w:sz w:val="32"/>
          <w:szCs w:val="32"/>
          <w:highlight w:val="none"/>
        </w:rPr>
        <w:t>费。</w:t>
      </w:r>
    </w:p>
    <w:p w14:paraId="62B67970">
      <w:pPr>
        <w:widowControl/>
        <w:spacing w:before="0" w:beforeLines="0" w:beforeAutospacing="0" w:after="0" w:afterLines="0" w:afterAutospacing="0" w:line="360" w:lineRule="auto"/>
        <w:ind w:firstLine="640" w:firstLineChars="200"/>
        <w:jc w:val="left"/>
        <w:rPr>
          <w:rFonts w:ascii="Times New Roman" w:eastAsia="仿宋_GB2312"/>
          <w:b w:val="0"/>
          <w:sz w:val="32"/>
          <w:szCs w:val="32"/>
          <w:highlight w:val="none"/>
        </w:rPr>
      </w:pPr>
      <w:r>
        <w:rPr>
          <w:rFonts w:ascii="Times New Roman" w:eastAsia="仿宋_GB2312"/>
          <w:b w:val="0"/>
          <w:sz w:val="32"/>
          <w:szCs w:val="32"/>
          <w:highlight w:val="none"/>
        </w:rPr>
        <w:t>公用经费12.74万元，主要包括</w:t>
      </w:r>
      <w:r>
        <w:rPr>
          <w:rFonts w:hint="eastAsia" w:ascii="Times New Roman" w:eastAsia="仿宋_GB2312"/>
          <w:b w:val="0"/>
          <w:sz w:val="32"/>
          <w:szCs w:val="32"/>
          <w:highlight w:val="none"/>
        </w:rPr>
        <w:t>办公费、邮电费、租赁费、劳务费、其他交通费用、其他商品和服务支出。</w:t>
      </w:r>
    </w:p>
    <w:p w14:paraId="56F9F77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highlight w:val="none"/>
        </w:rPr>
      </w:pPr>
      <w:r>
        <w:rPr>
          <w:rFonts w:ascii="Times New Roman" w:eastAsia="黑体"/>
          <w:b w:val="0"/>
          <w:sz w:val="32"/>
          <w:szCs w:val="32"/>
          <w:highlight w:val="none"/>
        </w:rPr>
        <w:t>五、财政拨款“三公” 经费支出决算情况说明</w:t>
      </w:r>
    </w:p>
    <w:p w14:paraId="4EE93124">
      <w:pPr>
        <w:widowControl/>
        <w:spacing w:before="0" w:beforeLines="0" w:beforeAutospacing="0" w:after="0" w:afterLines="0" w:afterAutospacing="0" w:line="360" w:lineRule="auto"/>
        <w:ind w:firstLine="643" w:firstLineChars="200"/>
        <w:jc w:val="left"/>
        <w:rPr>
          <w:rFonts w:ascii="Times New Roman" w:eastAsia="楷体_GB2312"/>
          <w:sz w:val="32"/>
          <w:szCs w:val="32"/>
          <w:highlight w:val="none"/>
        </w:rPr>
      </w:pPr>
      <w:r>
        <w:rPr>
          <w:rFonts w:ascii="Times New Roman" w:eastAsia="楷体_GB2312"/>
          <w:b/>
          <w:sz w:val="32"/>
          <w:szCs w:val="32"/>
          <w:highlight w:val="none"/>
        </w:rPr>
        <w:t>（一）“三公”经费财政拨款支出决算总体情况说明</w:t>
      </w:r>
    </w:p>
    <w:p w14:paraId="5DF71BC4">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本部门2025年度“三公”经费财政拨款支出预算为0.00万元，支出决算为0.00万元，完成预算的0.0%，较预算增加0.00万元，增长0.0%，主要原因是</w:t>
      </w:r>
      <w:r>
        <w:rPr>
          <w:rFonts w:hint="eastAsia" w:ascii="Times New Roman" w:eastAsia="仿宋_GB2312"/>
          <w:b w:val="0"/>
          <w:sz w:val="32"/>
          <w:szCs w:val="32"/>
          <w:highlight w:val="none"/>
          <w:lang w:val="en-US" w:eastAsia="zh-CN"/>
        </w:rPr>
        <w:t>我部门2025年无“三公”经费支出</w:t>
      </w:r>
      <w:r>
        <w:rPr>
          <w:rFonts w:ascii="Times New Roman" w:eastAsia="仿宋_GB2312"/>
          <w:b w:val="0"/>
          <w:sz w:val="32"/>
          <w:szCs w:val="32"/>
          <w:highlight w:val="none"/>
        </w:rPr>
        <w:t>；较2024年度决算增加0.00万元，增长0.00%，主要原因是</w:t>
      </w:r>
      <w:r>
        <w:rPr>
          <w:rFonts w:hint="eastAsia" w:ascii="Times New Roman" w:eastAsia="仿宋_GB2312"/>
          <w:b w:val="0"/>
          <w:sz w:val="32"/>
          <w:szCs w:val="32"/>
          <w:highlight w:val="none"/>
          <w:lang w:val="en-US" w:eastAsia="zh-CN"/>
        </w:rPr>
        <w:t>我部门2025年无“三公”经费支出</w:t>
      </w:r>
      <w:r>
        <w:rPr>
          <w:rFonts w:ascii="Times New Roman" w:eastAsia="仿宋_GB2312"/>
          <w:b w:val="0"/>
          <w:sz w:val="32"/>
          <w:szCs w:val="32"/>
          <w:highlight w:val="none"/>
        </w:rPr>
        <w:t>。</w:t>
      </w:r>
    </w:p>
    <w:p w14:paraId="37DC4E91">
      <w:pPr>
        <w:widowControl/>
        <w:spacing w:before="0" w:beforeLines="0" w:beforeAutospacing="0" w:after="0" w:afterLines="0" w:afterAutospacing="0" w:line="360" w:lineRule="auto"/>
        <w:ind w:firstLine="643" w:firstLineChars="200"/>
        <w:jc w:val="left"/>
        <w:rPr>
          <w:rFonts w:ascii="Times New Roman" w:eastAsia="楷体_GB2312"/>
          <w:sz w:val="32"/>
          <w:szCs w:val="32"/>
          <w:highlight w:val="none"/>
        </w:rPr>
      </w:pPr>
      <w:r>
        <w:rPr>
          <w:rFonts w:ascii="Times New Roman" w:eastAsia="楷体_GB2312"/>
          <w:b/>
          <w:sz w:val="32"/>
          <w:szCs w:val="32"/>
          <w:highlight w:val="none"/>
        </w:rPr>
        <w:t>（二）“三公”经费财政拨款支出决算具体情况说明</w:t>
      </w:r>
    </w:p>
    <w:p w14:paraId="6B497EC9">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楷体_GB2312"/>
          <w:b/>
          <w:sz w:val="32"/>
          <w:szCs w:val="32"/>
          <w:highlight w:val="none"/>
        </w:rPr>
        <w:t>1.因公出国（境）费支出情况。</w:t>
      </w:r>
      <w:r>
        <w:rPr>
          <w:rFonts w:ascii="Times New Roman" w:eastAsia="仿宋_GB2312"/>
          <w:b w:val="0"/>
          <w:sz w:val="32"/>
          <w:szCs w:val="32"/>
          <w:highlight w:val="none"/>
        </w:rPr>
        <w:t>本部门2025年度因公出国（境）费支出预算为0.00万元,支出决算0.00万元。完成预算的0.0%。因公出国（境）费支出较预算增加0.00万元，增长0.0%,主要原因是</w:t>
      </w:r>
      <w:r>
        <w:rPr>
          <w:rFonts w:hint="eastAsia" w:ascii="Times New Roman" w:eastAsia="仿宋_GB2312"/>
          <w:b w:val="0"/>
          <w:sz w:val="32"/>
          <w:szCs w:val="32"/>
          <w:highlight w:val="none"/>
          <w:lang w:val="en-US" w:eastAsia="zh-CN"/>
        </w:rPr>
        <w:t>我部门2025年无</w:t>
      </w:r>
      <w:r>
        <w:rPr>
          <w:rFonts w:ascii="Times New Roman" w:eastAsia="仿宋_GB2312"/>
          <w:b w:val="0"/>
          <w:sz w:val="32"/>
          <w:szCs w:val="32"/>
          <w:highlight w:val="none"/>
        </w:rPr>
        <w:t>因公出国（境）费支出；较上年增加0.00万元，增长0.00%,主要原因是</w:t>
      </w:r>
      <w:r>
        <w:rPr>
          <w:rFonts w:hint="eastAsia" w:ascii="Times New Roman" w:eastAsia="仿宋_GB2312"/>
          <w:b w:val="0"/>
          <w:sz w:val="32"/>
          <w:szCs w:val="32"/>
          <w:highlight w:val="none"/>
          <w:lang w:val="en-US" w:eastAsia="zh-CN"/>
        </w:rPr>
        <w:t>我部门2025年无</w:t>
      </w:r>
      <w:r>
        <w:rPr>
          <w:rFonts w:ascii="Times New Roman" w:eastAsia="仿宋_GB2312"/>
          <w:b w:val="0"/>
          <w:sz w:val="32"/>
          <w:szCs w:val="32"/>
          <w:highlight w:val="none"/>
        </w:rPr>
        <w:t>因公出国（境）费支出。因公出国（境）团组0个、共0人、参加其他单位组织的因公出国（境）团组</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个、无本部门组织的出国（境）团组。</w:t>
      </w:r>
    </w:p>
    <w:p w14:paraId="21DD0B10">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楷体_GB2312"/>
          <w:b/>
          <w:sz w:val="32"/>
          <w:szCs w:val="32"/>
          <w:highlight w:val="none"/>
        </w:rPr>
        <w:t>2.公务用车购置及运行维护费支出情况。</w:t>
      </w:r>
      <w:r>
        <w:rPr>
          <w:rFonts w:ascii="Times New Roman" w:eastAsia="仿宋_GB2312"/>
          <w:b w:val="0"/>
          <w:sz w:val="32"/>
          <w:szCs w:val="32"/>
          <w:highlight w:val="none"/>
        </w:rPr>
        <w:t>本部门2025年度公务用车购置及运行维护费预算为0.00万元，支出决算0.00万元，完成预算的0.0%,较预算增加0.00万元，增长0.0%,主要原因是</w:t>
      </w:r>
      <w:r>
        <w:rPr>
          <w:rFonts w:hint="eastAsia" w:ascii="Times New Roman" w:eastAsia="仿宋_GB2312"/>
          <w:b w:val="0"/>
          <w:sz w:val="32"/>
          <w:szCs w:val="32"/>
          <w:highlight w:val="none"/>
          <w:lang w:val="en-US" w:eastAsia="zh-CN"/>
        </w:rPr>
        <w:t>我部门2025年无</w:t>
      </w:r>
      <w:r>
        <w:rPr>
          <w:rFonts w:ascii="Times New Roman" w:eastAsia="仿宋_GB2312"/>
          <w:b w:val="0"/>
          <w:sz w:val="32"/>
          <w:szCs w:val="32"/>
          <w:highlight w:val="none"/>
        </w:rPr>
        <w:t>公务用车购置及运行维护费</w:t>
      </w:r>
      <w:r>
        <w:rPr>
          <w:rFonts w:hint="eastAsia" w:ascii="Times New Roman" w:eastAsia="仿宋_GB2312"/>
          <w:b w:val="0"/>
          <w:sz w:val="32"/>
          <w:szCs w:val="32"/>
          <w:highlight w:val="none"/>
          <w:lang w:val="en-US" w:eastAsia="zh-CN"/>
        </w:rPr>
        <w:t>支出</w:t>
      </w:r>
      <w:r>
        <w:rPr>
          <w:rFonts w:ascii="Times New Roman" w:eastAsia="仿宋_GB2312"/>
          <w:b w:val="0"/>
          <w:sz w:val="32"/>
          <w:szCs w:val="32"/>
          <w:highlight w:val="none"/>
        </w:rPr>
        <w:t>；较上年增加0.00万元，增长0.00%,主要原因是</w:t>
      </w:r>
      <w:r>
        <w:rPr>
          <w:rFonts w:hint="eastAsia" w:ascii="Times New Roman" w:eastAsia="仿宋_GB2312"/>
          <w:b w:val="0"/>
          <w:sz w:val="32"/>
          <w:szCs w:val="32"/>
          <w:highlight w:val="none"/>
          <w:lang w:val="en-US" w:eastAsia="zh-CN"/>
        </w:rPr>
        <w:t>我部门2025年无</w:t>
      </w:r>
      <w:r>
        <w:rPr>
          <w:rFonts w:ascii="Times New Roman" w:eastAsia="仿宋_GB2312"/>
          <w:b w:val="0"/>
          <w:sz w:val="32"/>
          <w:szCs w:val="32"/>
          <w:highlight w:val="none"/>
        </w:rPr>
        <w:t>公务用车购置及运行维护费</w:t>
      </w:r>
      <w:r>
        <w:rPr>
          <w:rFonts w:hint="eastAsia" w:ascii="Times New Roman" w:eastAsia="仿宋_GB2312"/>
          <w:b w:val="0"/>
          <w:sz w:val="32"/>
          <w:szCs w:val="32"/>
          <w:highlight w:val="none"/>
          <w:lang w:val="en-US" w:eastAsia="zh-CN"/>
        </w:rPr>
        <w:t>支出</w:t>
      </w:r>
      <w:r>
        <w:rPr>
          <w:rFonts w:ascii="Times New Roman" w:eastAsia="仿宋_GB2312"/>
          <w:b w:val="0"/>
          <w:sz w:val="32"/>
          <w:szCs w:val="32"/>
          <w:highlight w:val="none"/>
        </w:rPr>
        <w:t>。其中：</w:t>
      </w:r>
    </w:p>
    <w:p w14:paraId="79E62A04">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仿宋_GB2312"/>
          <w:b/>
          <w:sz w:val="32"/>
          <w:szCs w:val="32"/>
          <w:highlight w:val="none"/>
        </w:rPr>
        <w:t>公务用车购置费支出0.00万元：</w:t>
      </w:r>
      <w:r>
        <w:rPr>
          <w:rFonts w:ascii="Times New Roman" w:eastAsia="仿宋_GB2312"/>
          <w:b w:val="0"/>
          <w:sz w:val="32"/>
          <w:szCs w:val="32"/>
          <w:highlight w:val="none"/>
        </w:rPr>
        <w:t>本部门2025年度公务用车购置量0辆，发生“公务用车购置”经费支出0.00万元。公务用车购置费支出较预算增加0.00万元，增长0.0%,主要原因是</w:t>
      </w:r>
      <w:r>
        <w:rPr>
          <w:rFonts w:hint="eastAsia" w:ascii="Times New Roman" w:eastAsia="仿宋_GB2312"/>
          <w:b w:val="0"/>
          <w:sz w:val="32"/>
          <w:szCs w:val="32"/>
          <w:highlight w:val="none"/>
          <w:lang w:val="en-US" w:eastAsia="zh-CN"/>
        </w:rPr>
        <w:t>我部门2025年度无</w:t>
      </w:r>
      <w:r>
        <w:rPr>
          <w:rFonts w:ascii="Times New Roman" w:eastAsia="仿宋_GB2312"/>
          <w:b w:val="0"/>
          <w:sz w:val="32"/>
          <w:szCs w:val="32"/>
          <w:highlight w:val="none"/>
        </w:rPr>
        <w:t>公务用车购置费支出；较上年增加0.00万元，增长0.00%,主要原因是</w:t>
      </w:r>
      <w:r>
        <w:rPr>
          <w:rFonts w:hint="eastAsia" w:ascii="Times New Roman" w:eastAsia="仿宋_GB2312"/>
          <w:b w:val="0"/>
          <w:sz w:val="32"/>
          <w:szCs w:val="32"/>
          <w:highlight w:val="none"/>
          <w:lang w:val="en-US" w:eastAsia="zh-CN"/>
        </w:rPr>
        <w:t>我部门2025年度无</w:t>
      </w:r>
      <w:r>
        <w:rPr>
          <w:rFonts w:ascii="Times New Roman" w:eastAsia="仿宋_GB2312"/>
          <w:b w:val="0"/>
          <w:sz w:val="32"/>
          <w:szCs w:val="32"/>
          <w:highlight w:val="none"/>
        </w:rPr>
        <w:t>公务用车购置费支出。</w:t>
      </w:r>
    </w:p>
    <w:p w14:paraId="6245C388">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仿宋_GB2312"/>
          <w:b/>
          <w:sz w:val="32"/>
          <w:szCs w:val="32"/>
          <w:highlight w:val="none"/>
        </w:rPr>
        <w:t>公务用车运行维护费支出0.00万元：</w:t>
      </w:r>
      <w:r>
        <w:rPr>
          <w:rFonts w:ascii="Times New Roman" w:eastAsia="仿宋_GB2312"/>
          <w:b w:val="0"/>
          <w:sz w:val="32"/>
          <w:szCs w:val="32"/>
          <w:highlight w:val="none"/>
        </w:rPr>
        <w:t>本部门2025年度单位公务用车保有量0辆，发生运行维护费支出0.00万元。公车运行维护费支出较预算增加0.00万元，增长0.0%,主要原因是本部门2025年度</w:t>
      </w:r>
      <w:r>
        <w:rPr>
          <w:rFonts w:hint="eastAsia" w:ascii="Times New Roman" w:eastAsia="仿宋_GB2312"/>
          <w:b w:val="0"/>
          <w:sz w:val="32"/>
          <w:szCs w:val="32"/>
          <w:highlight w:val="none"/>
          <w:lang w:val="en-US" w:eastAsia="zh-CN"/>
        </w:rPr>
        <w:t>无公务用车运行维护费支出</w:t>
      </w:r>
      <w:r>
        <w:rPr>
          <w:rFonts w:ascii="Times New Roman" w:eastAsia="仿宋_GB2312"/>
          <w:b w:val="0"/>
          <w:sz w:val="32"/>
          <w:szCs w:val="32"/>
          <w:highlight w:val="none"/>
        </w:rPr>
        <w:t>；较上年增加0.00万元，增长0.00%，主要原因是本部门2025年度</w:t>
      </w:r>
      <w:r>
        <w:rPr>
          <w:rFonts w:hint="eastAsia" w:ascii="Times New Roman" w:eastAsia="仿宋_GB2312"/>
          <w:b w:val="0"/>
          <w:sz w:val="32"/>
          <w:szCs w:val="32"/>
          <w:highlight w:val="none"/>
          <w:lang w:val="en-US" w:eastAsia="zh-CN"/>
        </w:rPr>
        <w:t>无公务用车运行维护费支出</w:t>
      </w:r>
      <w:r>
        <w:rPr>
          <w:rFonts w:ascii="Times New Roman" w:eastAsia="仿宋_GB2312"/>
          <w:b w:val="0"/>
          <w:sz w:val="32"/>
          <w:szCs w:val="32"/>
          <w:highlight w:val="none"/>
        </w:rPr>
        <w:t>。</w:t>
      </w:r>
    </w:p>
    <w:p w14:paraId="1A2F3A6F">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楷体_GB2312"/>
          <w:b/>
          <w:sz w:val="32"/>
          <w:szCs w:val="32"/>
          <w:highlight w:val="none"/>
        </w:rPr>
        <w:t>3.公务接待费支出情况。</w:t>
      </w:r>
      <w:r>
        <w:rPr>
          <w:rFonts w:ascii="Times New Roman" w:eastAsia="仿宋_GB2312"/>
          <w:b w:val="0"/>
          <w:sz w:val="32"/>
          <w:szCs w:val="32"/>
          <w:highlight w:val="none"/>
        </w:rPr>
        <w:t>本部门2025年度公务接待费支出预算为0.00万元，支出决算0.00万元，完成预算的0.0%。公务接待费支出较预算增加0.00万元，增长0.0%,主要原因是本部门2025年度</w:t>
      </w:r>
      <w:r>
        <w:rPr>
          <w:rFonts w:hint="eastAsia" w:ascii="Times New Roman" w:eastAsia="仿宋_GB2312"/>
          <w:b w:val="0"/>
          <w:sz w:val="32"/>
          <w:szCs w:val="32"/>
          <w:highlight w:val="none"/>
          <w:lang w:val="en-US" w:eastAsia="zh-CN"/>
        </w:rPr>
        <w:t>无</w:t>
      </w:r>
      <w:r>
        <w:rPr>
          <w:rFonts w:ascii="Times New Roman" w:eastAsia="仿宋_GB2312"/>
          <w:b w:val="0"/>
          <w:sz w:val="32"/>
          <w:szCs w:val="32"/>
          <w:highlight w:val="none"/>
        </w:rPr>
        <w:t>公务接待费支出；较上年度增加0.00万元，增长0.00%,主要原因是本部门2025年度</w:t>
      </w:r>
      <w:r>
        <w:rPr>
          <w:rFonts w:hint="eastAsia" w:ascii="Times New Roman" w:eastAsia="仿宋_GB2312"/>
          <w:b w:val="0"/>
          <w:sz w:val="32"/>
          <w:szCs w:val="32"/>
          <w:highlight w:val="none"/>
          <w:lang w:val="en-US" w:eastAsia="zh-CN"/>
        </w:rPr>
        <w:t>无</w:t>
      </w:r>
      <w:r>
        <w:rPr>
          <w:rFonts w:ascii="Times New Roman" w:eastAsia="仿宋_GB2312"/>
          <w:b w:val="0"/>
          <w:sz w:val="32"/>
          <w:szCs w:val="32"/>
          <w:highlight w:val="none"/>
        </w:rPr>
        <w:t>公务接待费支出。本年度共发生公务接待0批次、0人次。</w:t>
      </w:r>
    </w:p>
    <w:p w14:paraId="38FB73B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highlight w:val="none"/>
        </w:rPr>
      </w:pPr>
      <w:r>
        <w:rPr>
          <w:rFonts w:ascii="Times New Roman" w:eastAsia="黑体"/>
          <w:b w:val="0"/>
          <w:sz w:val="32"/>
          <w:szCs w:val="32"/>
          <w:highlight w:val="none"/>
        </w:rPr>
        <w:t>六、机关运行经费支出说明</w:t>
      </w:r>
    </w:p>
    <w:p w14:paraId="78AF07F9">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本部门2025年度机关运行经费支出12.74万元，较2024年度减少13.04万元，降低50.6%。主要原因是</w:t>
      </w:r>
      <w:r>
        <w:rPr>
          <w:rFonts w:hint="eastAsia" w:ascii="Times New Roman" w:eastAsia="仿宋_GB2312"/>
          <w:b w:val="0"/>
          <w:sz w:val="32"/>
          <w:szCs w:val="32"/>
          <w:highlight w:val="none"/>
          <w:lang w:val="en-US" w:eastAsia="zh-CN"/>
        </w:rPr>
        <w:t>我部门为2024年机构改革新成立单位，2024年发生办公设备购置费用支出16.38万元</w:t>
      </w:r>
      <w:r>
        <w:rPr>
          <w:rFonts w:ascii="Times New Roman" w:eastAsia="仿宋_GB2312"/>
          <w:b w:val="0"/>
          <w:sz w:val="32"/>
          <w:szCs w:val="32"/>
          <w:highlight w:val="none"/>
        </w:rPr>
        <w:t>。</w:t>
      </w:r>
    </w:p>
    <w:p w14:paraId="3AF7445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highlight w:val="none"/>
        </w:rPr>
      </w:pPr>
      <w:r>
        <w:rPr>
          <w:rFonts w:ascii="Times New Roman" w:eastAsia="黑体"/>
          <w:b w:val="0"/>
          <w:sz w:val="32"/>
          <w:szCs w:val="32"/>
          <w:highlight w:val="none"/>
        </w:rPr>
        <w:t>七、政府采购支出说明</w:t>
      </w:r>
    </w:p>
    <w:p w14:paraId="683D942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1B4801D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highlight w:val="none"/>
        </w:rPr>
      </w:pPr>
      <w:r>
        <w:rPr>
          <w:rFonts w:ascii="Times New Roman" w:eastAsia="黑体"/>
          <w:b w:val="0"/>
          <w:sz w:val="32"/>
          <w:szCs w:val="32"/>
          <w:highlight w:val="none"/>
        </w:rPr>
        <w:t>八、国有资产占用情况说明</w:t>
      </w:r>
    </w:p>
    <w:p w14:paraId="27E8C5F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截至2025年12月31日，本部门共有车辆0辆，比上年增加0辆。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09254C3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highlight w:val="none"/>
        </w:rPr>
      </w:pPr>
      <w:r>
        <w:rPr>
          <w:rFonts w:ascii="Times New Roman" w:eastAsia="黑体"/>
          <w:b w:val="0"/>
          <w:sz w:val="32"/>
          <w:szCs w:val="32"/>
          <w:highlight w:val="none"/>
        </w:rPr>
        <w:t>九、关于2025年度绩效评价情况的说明</w:t>
      </w:r>
    </w:p>
    <w:p w14:paraId="0CB9CAF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72F96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rPr>
        <w:t xml:space="preserve"> 88.44 </w:t>
      </w:r>
      <w:r>
        <w:rPr>
          <w:rFonts w:ascii="Times New Roman" w:eastAsia="仿宋_GB2312"/>
          <w:b w:val="0"/>
          <w:sz w:val="32"/>
          <w:szCs w:val="32"/>
        </w:rPr>
        <w:t>万元（决算金额）。其中，一般公共预算项目</w:t>
      </w:r>
      <w:r>
        <w:rPr>
          <w:rFonts w:hint="eastAsia" w:ascii="Times New Roman" w:eastAsia="仿宋_GB2312"/>
          <w:b w:val="0"/>
          <w:sz w:val="32"/>
          <w:szCs w:val="32"/>
        </w:rPr>
        <w:t>7</w:t>
      </w:r>
      <w:r>
        <w:rPr>
          <w:rFonts w:ascii="Times New Roman" w:eastAsia="仿宋_GB2312"/>
          <w:b w:val="0"/>
          <w:sz w:val="32"/>
          <w:szCs w:val="32"/>
        </w:rPr>
        <w:t>个，涉及资金</w:t>
      </w:r>
      <w:r>
        <w:rPr>
          <w:rFonts w:hint="eastAsia" w:ascii="Times New Roman" w:eastAsia="仿宋_GB2312"/>
          <w:b w:val="0"/>
          <w:sz w:val="32"/>
          <w:szCs w:val="32"/>
        </w:rPr>
        <w:t xml:space="preserve">88.44 </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07BAD1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val="en-US" w:eastAsia="zh-CN"/>
        </w:rPr>
        <w:t>无</w:t>
      </w:r>
      <w:r>
        <w:rPr>
          <w:rFonts w:ascii="Times New Roman" w:eastAsia="仿宋_GB2312"/>
          <w:b w:val="0"/>
          <w:sz w:val="32"/>
          <w:szCs w:val="32"/>
        </w:rPr>
        <w:t>项目开展部门重点评价。</w:t>
      </w:r>
    </w:p>
    <w:p w14:paraId="23B3669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394012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本部门在今年部门决算公开中反映冀财行[2024]95号-蒲口镇前柳滩村村委会改造提升项目 1 个项目绩效自评结果。</w:t>
      </w:r>
    </w:p>
    <w:p w14:paraId="40DDF32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冀财行[2024]95号-蒲口镇前柳滩村村委会改造提升项目自评综述：根据年初设定的绩效目标，冀财行[2024]95号-蒲口镇前柳滩村村委会改造提升项目绩效自评得分为 100 分（绩效自评表附后）。全年预算数为</w:t>
      </w:r>
      <w:r>
        <w:rPr>
          <w:rFonts w:hint="eastAsia" w:ascii="Times New Roman" w:eastAsia="仿宋_GB2312"/>
          <w:b w:val="0"/>
          <w:sz w:val="32"/>
          <w:szCs w:val="32"/>
          <w:lang w:val="en-US" w:eastAsia="zh-CN"/>
        </w:rPr>
        <w:t>15</w:t>
      </w:r>
      <w:r>
        <w:rPr>
          <w:rFonts w:hint="eastAsia" w:ascii="Times New Roman" w:eastAsia="仿宋_GB2312"/>
          <w:b w:val="0"/>
          <w:sz w:val="32"/>
          <w:szCs w:val="32"/>
        </w:rPr>
        <w:t xml:space="preserve">万元，执行数为 </w:t>
      </w:r>
      <w:r>
        <w:rPr>
          <w:rFonts w:hint="eastAsia" w:ascii="Times New Roman" w:eastAsia="仿宋_GB2312"/>
          <w:b w:val="0"/>
          <w:sz w:val="32"/>
          <w:szCs w:val="32"/>
          <w:lang w:val="en-US" w:eastAsia="zh-CN"/>
        </w:rPr>
        <w:t>15</w:t>
      </w:r>
      <w:r>
        <w:rPr>
          <w:rFonts w:hint="eastAsia" w:ascii="Times New Roman" w:eastAsia="仿宋_GB2312"/>
          <w:b w:val="0"/>
          <w:sz w:val="32"/>
          <w:szCs w:val="32"/>
        </w:rPr>
        <w:t xml:space="preserve"> 万元，完成预算的 100%。项目绩效目标完成情况：通过项目实施，完成年初设定的各项绩效目标，社区服务水平显著提升，农村社区综合服务设施覆盖率达到</w:t>
      </w:r>
      <w:r>
        <w:rPr>
          <w:rFonts w:hint="eastAsia" w:ascii="Times New Roman" w:eastAsia="仿宋_GB2312"/>
          <w:b w:val="0"/>
          <w:sz w:val="32"/>
          <w:szCs w:val="32"/>
          <w:lang w:val="en-US" w:eastAsia="zh-CN"/>
        </w:rPr>
        <w:t>85</w:t>
      </w:r>
      <w:r>
        <w:rPr>
          <w:rFonts w:hint="eastAsia" w:ascii="Times New Roman" w:eastAsia="仿宋_GB2312"/>
          <w:b w:val="0"/>
          <w:sz w:val="32"/>
          <w:szCs w:val="32"/>
        </w:rPr>
        <w:t>%。</w:t>
      </w:r>
    </w:p>
    <w:p w14:paraId="3B2CA2D6">
      <w:pPr>
        <w:widowControl/>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ascii="Times New Roman" w:eastAsia="仿宋_GB2312"/>
          <w:b w:val="0"/>
          <w:sz w:val="32"/>
          <w:szCs w:val="32"/>
        </w:rPr>
        <w:t>发现的主要问题</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w:t>
      </w:r>
    </w:p>
    <w:tbl>
      <w:tblPr>
        <w:tblStyle w:val="11"/>
        <w:tblpPr w:leftFromText="180" w:rightFromText="180" w:vertAnchor="text" w:horzAnchor="page" w:tblpX="812" w:tblpY="658"/>
        <w:tblOverlap w:val="never"/>
        <w:tblW w:w="105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5"/>
        <w:gridCol w:w="645"/>
        <w:gridCol w:w="749"/>
        <w:gridCol w:w="1230"/>
        <w:gridCol w:w="1229"/>
        <w:gridCol w:w="1206"/>
        <w:gridCol w:w="705"/>
        <w:gridCol w:w="825"/>
        <w:gridCol w:w="630"/>
        <w:gridCol w:w="780"/>
        <w:gridCol w:w="720"/>
        <w:gridCol w:w="791"/>
      </w:tblGrid>
      <w:tr w14:paraId="0617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545" w:type="dxa"/>
            <w:gridSpan w:val="12"/>
            <w:vMerge w:val="restart"/>
            <w:tcBorders>
              <w:top w:val="nil"/>
              <w:left w:val="nil"/>
              <w:bottom w:val="nil"/>
              <w:right w:val="nil"/>
            </w:tcBorders>
            <w:shd w:val="clear" w:color="auto" w:fill="auto"/>
            <w:noWrap/>
            <w:vAlign w:val="center"/>
          </w:tcPr>
          <w:p w14:paraId="6F37526E">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2025年度预算项目绩效自评表</w:t>
            </w:r>
          </w:p>
        </w:tc>
      </w:tr>
      <w:tr w14:paraId="25EE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545" w:type="dxa"/>
            <w:gridSpan w:val="12"/>
            <w:vMerge w:val="continue"/>
            <w:tcBorders>
              <w:top w:val="nil"/>
              <w:left w:val="nil"/>
              <w:bottom w:val="nil"/>
              <w:right w:val="nil"/>
            </w:tcBorders>
            <w:shd w:val="clear" w:color="auto" w:fill="auto"/>
            <w:noWrap/>
            <w:vAlign w:val="center"/>
          </w:tcPr>
          <w:p w14:paraId="7F56F435">
            <w:pPr>
              <w:jc w:val="center"/>
              <w:rPr>
                <w:rFonts w:hint="eastAsia" w:ascii="宋体" w:hAnsi="宋体" w:eastAsia="宋体" w:cs="宋体"/>
                <w:b/>
                <w:bCs/>
                <w:i w:val="0"/>
                <w:iCs w:val="0"/>
                <w:color w:val="000000"/>
                <w:sz w:val="36"/>
                <w:szCs w:val="36"/>
                <w:u w:val="none"/>
              </w:rPr>
            </w:pPr>
          </w:p>
        </w:tc>
      </w:tr>
      <w:tr w14:paraId="44E4F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35" w:type="dxa"/>
            <w:tcBorders>
              <w:top w:val="nil"/>
              <w:left w:val="nil"/>
              <w:bottom w:val="nil"/>
              <w:right w:val="nil"/>
            </w:tcBorders>
            <w:shd w:val="clear" w:color="auto" w:fill="auto"/>
            <w:vAlign w:val="center"/>
          </w:tcPr>
          <w:p w14:paraId="060215F1">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一、基本情况</w:t>
            </w:r>
          </w:p>
        </w:tc>
        <w:tc>
          <w:tcPr>
            <w:tcW w:w="645" w:type="dxa"/>
            <w:tcBorders>
              <w:top w:val="nil"/>
              <w:left w:val="nil"/>
              <w:bottom w:val="nil"/>
              <w:right w:val="nil"/>
            </w:tcBorders>
            <w:shd w:val="clear" w:color="auto" w:fill="auto"/>
            <w:vAlign w:val="center"/>
          </w:tcPr>
          <w:p w14:paraId="5E9DEC62">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1979" w:type="dxa"/>
            <w:gridSpan w:val="2"/>
            <w:tcBorders>
              <w:top w:val="nil"/>
              <w:left w:val="nil"/>
              <w:bottom w:val="nil"/>
              <w:right w:val="nil"/>
            </w:tcBorders>
            <w:shd w:val="clear" w:color="auto" w:fill="auto"/>
            <w:vAlign w:val="center"/>
          </w:tcPr>
          <w:p w14:paraId="2CFC1EF4">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冀财行[2024]95号-蒲口镇前柳滩村村委会改造提升项目</w:t>
            </w:r>
          </w:p>
        </w:tc>
        <w:tc>
          <w:tcPr>
            <w:tcW w:w="1229" w:type="dxa"/>
            <w:tcBorders>
              <w:top w:val="nil"/>
              <w:left w:val="nil"/>
              <w:bottom w:val="nil"/>
              <w:right w:val="nil"/>
            </w:tcBorders>
            <w:shd w:val="clear" w:color="auto" w:fill="auto"/>
            <w:vAlign w:val="center"/>
          </w:tcPr>
          <w:p w14:paraId="3802ACE4">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项目级次</w:t>
            </w:r>
          </w:p>
        </w:tc>
        <w:tc>
          <w:tcPr>
            <w:tcW w:w="1206" w:type="dxa"/>
            <w:tcBorders>
              <w:top w:val="nil"/>
              <w:left w:val="nil"/>
              <w:bottom w:val="nil"/>
              <w:right w:val="nil"/>
            </w:tcBorders>
            <w:shd w:val="clear" w:color="auto" w:fill="auto"/>
            <w:vAlign w:val="center"/>
          </w:tcPr>
          <w:p w14:paraId="2900D4A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本级</w:t>
            </w:r>
          </w:p>
        </w:tc>
        <w:tc>
          <w:tcPr>
            <w:tcW w:w="1530" w:type="dxa"/>
            <w:gridSpan w:val="2"/>
            <w:tcBorders>
              <w:top w:val="nil"/>
              <w:left w:val="nil"/>
              <w:bottom w:val="nil"/>
              <w:right w:val="nil"/>
            </w:tcBorders>
            <w:shd w:val="clear" w:color="auto" w:fill="auto"/>
            <w:vAlign w:val="center"/>
          </w:tcPr>
          <w:p w14:paraId="5616A04F">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实施主管单位</w:t>
            </w:r>
          </w:p>
        </w:tc>
        <w:tc>
          <w:tcPr>
            <w:tcW w:w="1410" w:type="dxa"/>
            <w:gridSpan w:val="2"/>
            <w:tcBorders>
              <w:top w:val="nil"/>
              <w:left w:val="nil"/>
              <w:bottom w:val="nil"/>
              <w:right w:val="nil"/>
            </w:tcBorders>
            <w:shd w:val="clear" w:color="auto" w:fill="auto"/>
            <w:vAlign w:val="center"/>
          </w:tcPr>
          <w:p w14:paraId="7D570011">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215001-中共高阳县委社会工作部</w:t>
            </w:r>
          </w:p>
        </w:tc>
        <w:tc>
          <w:tcPr>
            <w:tcW w:w="720" w:type="dxa"/>
            <w:tcBorders>
              <w:top w:val="nil"/>
              <w:left w:val="nil"/>
              <w:bottom w:val="nil"/>
              <w:right w:val="nil"/>
            </w:tcBorders>
            <w:shd w:val="clear" w:color="auto" w:fill="auto"/>
            <w:vAlign w:val="center"/>
          </w:tcPr>
          <w:p w14:paraId="10381DEC">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金额单位</w:t>
            </w:r>
          </w:p>
        </w:tc>
        <w:tc>
          <w:tcPr>
            <w:tcW w:w="791" w:type="dxa"/>
            <w:tcBorders>
              <w:top w:val="nil"/>
              <w:left w:val="nil"/>
              <w:bottom w:val="nil"/>
              <w:right w:val="nil"/>
            </w:tcBorders>
            <w:shd w:val="clear" w:color="auto" w:fill="auto"/>
            <w:vAlign w:val="center"/>
          </w:tcPr>
          <w:p w14:paraId="5EB409BF">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万元</w:t>
            </w:r>
          </w:p>
        </w:tc>
      </w:tr>
      <w:tr w14:paraId="1599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35" w:type="dxa"/>
            <w:vMerge w:val="restart"/>
            <w:tcBorders>
              <w:top w:val="nil"/>
              <w:left w:val="nil"/>
              <w:bottom w:val="nil"/>
              <w:right w:val="nil"/>
            </w:tcBorders>
            <w:shd w:val="clear" w:color="auto" w:fill="auto"/>
            <w:vAlign w:val="center"/>
          </w:tcPr>
          <w:p w14:paraId="385765C1">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二、预算执行</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情况</w:t>
            </w:r>
          </w:p>
        </w:tc>
        <w:tc>
          <w:tcPr>
            <w:tcW w:w="2624" w:type="dxa"/>
            <w:gridSpan w:val="3"/>
            <w:tcBorders>
              <w:top w:val="nil"/>
              <w:left w:val="nil"/>
              <w:bottom w:val="nil"/>
              <w:right w:val="nil"/>
            </w:tcBorders>
            <w:shd w:val="clear" w:color="auto" w:fill="auto"/>
            <w:vAlign w:val="center"/>
          </w:tcPr>
          <w:p w14:paraId="463AD095">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预算安排情况(调整后)</w:t>
            </w:r>
          </w:p>
        </w:tc>
        <w:tc>
          <w:tcPr>
            <w:tcW w:w="2435" w:type="dxa"/>
            <w:gridSpan w:val="2"/>
            <w:tcBorders>
              <w:top w:val="nil"/>
              <w:left w:val="nil"/>
              <w:bottom w:val="nil"/>
              <w:right w:val="nil"/>
            </w:tcBorders>
            <w:shd w:val="clear" w:color="auto" w:fill="auto"/>
            <w:vAlign w:val="center"/>
          </w:tcPr>
          <w:p w14:paraId="58E4F232">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资金到位情况</w:t>
            </w:r>
          </w:p>
        </w:tc>
        <w:tc>
          <w:tcPr>
            <w:tcW w:w="2940" w:type="dxa"/>
            <w:gridSpan w:val="4"/>
            <w:tcBorders>
              <w:top w:val="nil"/>
              <w:left w:val="nil"/>
              <w:bottom w:val="nil"/>
              <w:right w:val="nil"/>
            </w:tcBorders>
            <w:shd w:val="clear" w:color="auto" w:fill="auto"/>
            <w:vAlign w:val="center"/>
          </w:tcPr>
          <w:p w14:paraId="03CC5E82">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资金执行情况</w:t>
            </w:r>
          </w:p>
        </w:tc>
        <w:tc>
          <w:tcPr>
            <w:tcW w:w="1511" w:type="dxa"/>
            <w:gridSpan w:val="2"/>
            <w:tcBorders>
              <w:top w:val="nil"/>
              <w:left w:val="nil"/>
              <w:bottom w:val="nil"/>
              <w:right w:val="nil"/>
            </w:tcBorders>
            <w:shd w:val="clear" w:color="auto" w:fill="auto"/>
            <w:vAlign w:val="center"/>
          </w:tcPr>
          <w:p w14:paraId="031532E1">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预算执行进度(%)</w:t>
            </w:r>
          </w:p>
        </w:tc>
      </w:tr>
      <w:tr w14:paraId="69EEF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182ACB74">
            <w:pPr>
              <w:jc w:val="center"/>
              <w:rPr>
                <w:rFonts w:hint="eastAsia" w:ascii="宋体" w:hAnsi="宋体" w:eastAsia="宋体" w:cs="宋体"/>
                <w:b/>
                <w:bCs/>
                <w:i w:val="0"/>
                <w:iCs w:val="0"/>
                <w:color w:val="000000"/>
                <w:sz w:val="22"/>
                <w:szCs w:val="22"/>
                <w:u w:val="none"/>
              </w:rPr>
            </w:pPr>
          </w:p>
        </w:tc>
        <w:tc>
          <w:tcPr>
            <w:tcW w:w="1394" w:type="dxa"/>
            <w:gridSpan w:val="2"/>
            <w:tcBorders>
              <w:top w:val="nil"/>
              <w:left w:val="nil"/>
              <w:bottom w:val="nil"/>
              <w:right w:val="nil"/>
            </w:tcBorders>
            <w:shd w:val="clear" w:color="auto" w:fill="auto"/>
            <w:vAlign w:val="center"/>
          </w:tcPr>
          <w:p w14:paraId="0BA47A55">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预算数</w:t>
            </w:r>
          </w:p>
        </w:tc>
        <w:tc>
          <w:tcPr>
            <w:tcW w:w="1230" w:type="dxa"/>
            <w:tcBorders>
              <w:top w:val="nil"/>
              <w:left w:val="nil"/>
              <w:bottom w:val="nil"/>
              <w:right w:val="nil"/>
            </w:tcBorders>
            <w:shd w:val="clear" w:color="auto" w:fill="auto"/>
            <w:vAlign w:val="center"/>
          </w:tcPr>
          <w:p w14:paraId="60C18189">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15.000000</w:t>
            </w:r>
          </w:p>
        </w:tc>
        <w:tc>
          <w:tcPr>
            <w:tcW w:w="1229" w:type="dxa"/>
            <w:tcBorders>
              <w:top w:val="nil"/>
              <w:left w:val="nil"/>
              <w:bottom w:val="nil"/>
              <w:right w:val="nil"/>
            </w:tcBorders>
            <w:shd w:val="clear" w:color="auto" w:fill="auto"/>
            <w:vAlign w:val="center"/>
          </w:tcPr>
          <w:p w14:paraId="62037D68">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到位数</w:t>
            </w:r>
          </w:p>
        </w:tc>
        <w:tc>
          <w:tcPr>
            <w:tcW w:w="1206" w:type="dxa"/>
            <w:tcBorders>
              <w:top w:val="nil"/>
              <w:left w:val="nil"/>
              <w:bottom w:val="nil"/>
              <w:right w:val="nil"/>
            </w:tcBorders>
            <w:shd w:val="clear" w:color="auto" w:fill="auto"/>
            <w:vAlign w:val="center"/>
          </w:tcPr>
          <w:p w14:paraId="71D44CDE">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15.000000</w:t>
            </w:r>
          </w:p>
        </w:tc>
        <w:tc>
          <w:tcPr>
            <w:tcW w:w="1530" w:type="dxa"/>
            <w:gridSpan w:val="2"/>
            <w:tcBorders>
              <w:top w:val="nil"/>
              <w:left w:val="nil"/>
              <w:bottom w:val="nil"/>
              <w:right w:val="nil"/>
            </w:tcBorders>
            <w:shd w:val="clear" w:color="auto" w:fill="auto"/>
            <w:vAlign w:val="center"/>
          </w:tcPr>
          <w:p w14:paraId="64E1A929">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执行数</w:t>
            </w:r>
          </w:p>
        </w:tc>
        <w:tc>
          <w:tcPr>
            <w:tcW w:w="1410" w:type="dxa"/>
            <w:gridSpan w:val="2"/>
            <w:tcBorders>
              <w:top w:val="nil"/>
              <w:left w:val="nil"/>
              <w:bottom w:val="nil"/>
              <w:right w:val="nil"/>
            </w:tcBorders>
            <w:shd w:val="clear" w:color="auto" w:fill="auto"/>
            <w:vAlign w:val="center"/>
          </w:tcPr>
          <w:p w14:paraId="743EFCA4">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15.000000</w:t>
            </w:r>
          </w:p>
        </w:tc>
        <w:tc>
          <w:tcPr>
            <w:tcW w:w="1511" w:type="dxa"/>
            <w:gridSpan w:val="2"/>
            <w:vMerge w:val="restart"/>
            <w:tcBorders>
              <w:top w:val="nil"/>
              <w:left w:val="nil"/>
              <w:bottom w:val="nil"/>
              <w:right w:val="nil"/>
            </w:tcBorders>
            <w:shd w:val="clear" w:color="auto" w:fill="auto"/>
            <w:vAlign w:val="center"/>
          </w:tcPr>
          <w:p w14:paraId="71511B7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100</w:t>
            </w:r>
          </w:p>
        </w:tc>
      </w:tr>
      <w:tr w14:paraId="4DBB6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31DF0C58">
            <w:pPr>
              <w:jc w:val="center"/>
              <w:rPr>
                <w:rFonts w:hint="eastAsia" w:ascii="宋体" w:hAnsi="宋体" w:eastAsia="宋体" w:cs="宋体"/>
                <w:b/>
                <w:bCs/>
                <w:i w:val="0"/>
                <w:iCs w:val="0"/>
                <w:color w:val="000000"/>
                <w:sz w:val="22"/>
                <w:szCs w:val="22"/>
                <w:u w:val="none"/>
              </w:rPr>
            </w:pPr>
          </w:p>
        </w:tc>
        <w:tc>
          <w:tcPr>
            <w:tcW w:w="1394" w:type="dxa"/>
            <w:gridSpan w:val="2"/>
            <w:tcBorders>
              <w:top w:val="nil"/>
              <w:left w:val="nil"/>
              <w:bottom w:val="nil"/>
              <w:right w:val="nil"/>
            </w:tcBorders>
            <w:shd w:val="clear" w:color="auto" w:fill="auto"/>
            <w:vAlign w:val="center"/>
          </w:tcPr>
          <w:p w14:paraId="632612D5">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其中：一般公共预算资金</w:t>
            </w:r>
          </w:p>
        </w:tc>
        <w:tc>
          <w:tcPr>
            <w:tcW w:w="1230" w:type="dxa"/>
            <w:tcBorders>
              <w:top w:val="nil"/>
              <w:left w:val="nil"/>
              <w:bottom w:val="nil"/>
              <w:right w:val="nil"/>
            </w:tcBorders>
            <w:shd w:val="clear" w:color="auto" w:fill="auto"/>
            <w:vAlign w:val="center"/>
          </w:tcPr>
          <w:p w14:paraId="0E07D5CE">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15.000000</w:t>
            </w:r>
          </w:p>
        </w:tc>
        <w:tc>
          <w:tcPr>
            <w:tcW w:w="1229" w:type="dxa"/>
            <w:tcBorders>
              <w:top w:val="nil"/>
              <w:left w:val="nil"/>
              <w:bottom w:val="nil"/>
              <w:right w:val="nil"/>
            </w:tcBorders>
            <w:shd w:val="clear" w:color="auto" w:fill="auto"/>
            <w:vAlign w:val="center"/>
          </w:tcPr>
          <w:p w14:paraId="61DD3EAB">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其中：一般公共预算资金</w:t>
            </w:r>
          </w:p>
        </w:tc>
        <w:tc>
          <w:tcPr>
            <w:tcW w:w="1206" w:type="dxa"/>
            <w:tcBorders>
              <w:top w:val="nil"/>
              <w:left w:val="nil"/>
              <w:bottom w:val="nil"/>
              <w:right w:val="nil"/>
            </w:tcBorders>
            <w:shd w:val="clear" w:color="auto" w:fill="auto"/>
            <w:vAlign w:val="center"/>
          </w:tcPr>
          <w:p w14:paraId="636D4D2E">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15.000000</w:t>
            </w:r>
          </w:p>
        </w:tc>
        <w:tc>
          <w:tcPr>
            <w:tcW w:w="1530" w:type="dxa"/>
            <w:gridSpan w:val="2"/>
            <w:tcBorders>
              <w:top w:val="nil"/>
              <w:left w:val="nil"/>
              <w:bottom w:val="nil"/>
              <w:right w:val="nil"/>
            </w:tcBorders>
            <w:shd w:val="clear" w:color="auto" w:fill="auto"/>
            <w:vAlign w:val="center"/>
          </w:tcPr>
          <w:p w14:paraId="7B4785AF">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其中：一般公共预算资金</w:t>
            </w:r>
          </w:p>
        </w:tc>
        <w:tc>
          <w:tcPr>
            <w:tcW w:w="1410" w:type="dxa"/>
            <w:gridSpan w:val="2"/>
            <w:tcBorders>
              <w:top w:val="nil"/>
              <w:left w:val="nil"/>
              <w:bottom w:val="nil"/>
              <w:right w:val="nil"/>
            </w:tcBorders>
            <w:shd w:val="clear" w:color="auto" w:fill="auto"/>
            <w:vAlign w:val="center"/>
          </w:tcPr>
          <w:p w14:paraId="431AE6EC">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15.000000</w:t>
            </w:r>
          </w:p>
        </w:tc>
        <w:tc>
          <w:tcPr>
            <w:tcW w:w="1511" w:type="dxa"/>
            <w:gridSpan w:val="2"/>
            <w:vMerge w:val="continue"/>
            <w:tcBorders>
              <w:top w:val="nil"/>
              <w:left w:val="nil"/>
              <w:bottom w:val="nil"/>
              <w:right w:val="nil"/>
            </w:tcBorders>
            <w:shd w:val="clear" w:color="auto" w:fill="auto"/>
            <w:vAlign w:val="center"/>
          </w:tcPr>
          <w:p w14:paraId="574DF863">
            <w:pPr>
              <w:jc w:val="center"/>
              <w:rPr>
                <w:rFonts w:hint="eastAsia" w:ascii="宋体" w:hAnsi="宋体" w:eastAsia="宋体" w:cs="宋体"/>
                <w:i w:val="0"/>
                <w:iCs w:val="0"/>
                <w:color w:val="000000"/>
                <w:sz w:val="22"/>
                <w:szCs w:val="22"/>
                <w:u w:val="none"/>
              </w:rPr>
            </w:pPr>
          </w:p>
        </w:tc>
      </w:tr>
      <w:tr w14:paraId="4AAA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747FBBA8">
            <w:pPr>
              <w:jc w:val="center"/>
              <w:rPr>
                <w:rFonts w:hint="eastAsia" w:ascii="宋体" w:hAnsi="宋体" w:eastAsia="宋体" w:cs="宋体"/>
                <w:b/>
                <w:bCs/>
                <w:i w:val="0"/>
                <w:iCs w:val="0"/>
                <w:color w:val="000000"/>
                <w:sz w:val="22"/>
                <w:szCs w:val="22"/>
                <w:u w:val="none"/>
              </w:rPr>
            </w:pPr>
          </w:p>
        </w:tc>
        <w:tc>
          <w:tcPr>
            <w:tcW w:w="1394" w:type="dxa"/>
            <w:gridSpan w:val="2"/>
            <w:tcBorders>
              <w:top w:val="nil"/>
              <w:left w:val="nil"/>
              <w:bottom w:val="nil"/>
              <w:right w:val="nil"/>
            </w:tcBorders>
            <w:shd w:val="clear" w:color="auto" w:fill="auto"/>
            <w:vAlign w:val="center"/>
          </w:tcPr>
          <w:p w14:paraId="4050928C">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政府性基金预算资金</w:t>
            </w:r>
          </w:p>
        </w:tc>
        <w:tc>
          <w:tcPr>
            <w:tcW w:w="1230" w:type="dxa"/>
            <w:tcBorders>
              <w:top w:val="nil"/>
              <w:left w:val="nil"/>
              <w:bottom w:val="nil"/>
              <w:right w:val="nil"/>
            </w:tcBorders>
            <w:shd w:val="clear" w:color="auto" w:fill="auto"/>
            <w:vAlign w:val="center"/>
          </w:tcPr>
          <w:p w14:paraId="355B9361">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229" w:type="dxa"/>
            <w:tcBorders>
              <w:top w:val="nil"/>
              <w:left w:val="nil"/>
              <w:bottom w:val="nil"/>
              <w:right w:val="nil"/>
            </w:tcBorders>
            <w:shd w:val="clear" w:color="auto" w:fill="auto"/>
            <w:vAlign w:val="center"/>
          </w:tcPr>
          <w:p w14:paraId="24199478">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政府性基金预算资金</w:t>
            </w:r>
          </w:p>
        </w:tc>
        <w:tc>
          <w:tcPr>
            <w:tcW w:w="1206" w:type="dxa"/>
            <w:tcBorders>
              <w:top w:val="nil"/>
              <w:left w:val="nil"/>
              <w:bottom w:val="nil"/>
              <w:right w:val="nil"/>
            </w:tcBorders>
            <w:shd w:val="clear" w:color="auto" w:fill="auto"/>
            <w:vAlign w:val="center"/>
          </w:tcPr>
          <w:p w14:paraId="6C8ECCE8">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30" w:type="dxa"/>
            <w:gridSpan w:val="2"/>
            <w:tcBorders>
              <w:top w:val="nil"/>
              <w:left w:val="nil"/>
              <w:bottom w:val="nil"/>
              <w:right w:val="nil"/>
            </w:tcBorders>
            <w:shd w:val="clear" w:color="auto" w:fill="auto"/>
            <w:vAlign w:val="center"/>
          </w:tcPr>
          <w:p w14:paraId="7BB2F480">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政府性基金预算资金</w:t>
            </w:r>
          </w:p>
        </w:tc>
        <w:tc>
          <w:tcPr>
            <w:tcW w:w="1410" w:type="dxa"/>
            <w:gridSpan w:val="2"/>
            <w:tcBorders>
              <w:top w:val="nil"/>
              <w:left w:val="nil"/>
              <w:bottom w:val="nil"/>
              <w:right w:val="nil"/>
            </w:tcBorders>
            <w:shd w:val="clear" w:color="auto" w:fill="auto"/>
            <w:vAlign w:val="center"/>
          </w:tcPr>
          <w:p w14:paraId="009D65B8">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11" w:type="dxa"/>
            <w:gridSpan w:val="2"/>
            <w:vMerge w:val="continue"/>
            <w:tcBorders>
              <w:top w:val="nil"/>
              <w:left w:val="nil"/>
              <w:bottom w:val="nil"/>
              <w:right w:val="nil"/>
            </w:tcBorders>
            <w:shd w:val="clear" w:color="auto" w:fill="auto"/>
            <w:vAlign w:val="center"/>
          </w:tcPr>
          <w:p w14:paraId="755A7B76">
            <w:pPr>
              <w:jc w:val="center"/>
              <w:rPr>
                <w:rFonts w:hint="eastAsia" w:ascii="宋体" w:hAnsi="宋体" w:eastAsia="宋体" w:cs="宋体"/>
                <w:i w:val="0"/>
                <w:iCs w:val="0"/>
                <w:color w:val="000000"/>
                <w:sz w:val="22"/>
                <w:szCs w:val="22"/>
                <w:u w:val="none"/>
              </w:rPr>
            </w:pPr>
          </w:p>
        </w:tc>
      </w:tr>
      <w:tr w14:paraId="397D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1D7F5BF6">
            <w:pPr>
              <w:jc w:val="center"/>
              <w:rPr>
                <w:rFonts w:hint="eastAsia" w:ascii="宋体" w:hAnsi="宋体" w:eastAsia="宋体" w:cs="宋体"/>
                <w:b/>
                <w:bCs/>
                <w:i w:val="0"/>
                <w:iCs w:val="0"/>
                <w:color w:val="000000"/>
                <w:sz w:val="22"/>
                <w:szCs w:val="22"/>
                <w:u w:val="none"/>
              </w:rPr>
            </w:pPr>
          </w:p>
        </w:tc>
        <w:tc>
          <w:tcPr>
            <w:tcW w:w="1394" w:type="dxa"/>
            <w:gridSpan w:val="2"/>
            <w:tcBorders>
              <w:top w:val="nil"/>
              <w:left w:val="nil"/>
              <w:bottom w:val="nil"/>
              <w:right w:val="nil"/>
            </w:tcBorders>
            <w:shd w:val="clear" w:color="auto" w:fill="auto"/>
            <w:vAlign w:val="center"/>
          </w:tcPr>
          <w:p w14:paraId="157B8D99">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国有资本经营预算资金</w:t>
            </w:r>
          </w:p>
        </w:tc>
        <w:tc>
          <w:tcPr>
            <w:tcW w:w="1230" w:type="dxa"/>
            <w:tcBorders>
              <w:top w:val="nil"/>
              <w:left w:val="nil"/>
              <w:bottom w:val="nil"/>
              <w:right w:val="nil"/>
            </w:tcBorders>
            <w:shd w:val="clear" w:color="auto" w:fill="auto"/>
            <w:vAlign w:val="center"/>
          </w:tcPr>
          <w:p w14:paraId="3BB14B3B">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229" w:type="dxa"/>
            <w:tcBorders>
              <w:top w:val="nil"/>
              <w:left w:val="nil"/>
              <w:bottom w:val="nil"/>
              <w:right w:val="nil"/>
            </w:tcBorders>
            <w:shd w:val="clear" w:color="auto" w:fill="auto"/>
            <w:vAlign w:val="center"/>
          </w:tcPr>
          <w:p w14:paraId="703EDEFC">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国有资本经营预算资金</w:t>
            </w:r>
          </w:p>
        </w:tc>
        <w:tc>
          <w:tcPr>
            <w:tcW w:w="1206" w:type="dxa"/>
            <w:tcBorders>
              <w:top w:val="nil"/>
              <w:left w:val="nil"/>
              <w:bottom w:val="nil"/>
              <w:right w:val="nil"/>
            </w:tcBorders>
            <w:shd w:val="clear" w:color="auto" w:fill="auto"/>
            <w:vAlign w:val="center"/>
          </w:tcPr>
          <w:p w14:paraId="20F86024">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30" w:type="dxa"/>
            <w:gridSpan w:val="2"/>
            <w:tcBorders>
              <w:top w:val="nil"/>
              <w:left w:val="nil"/>
              <w:bottom w:val="nil"/>
              <w:right w:val="nil"/>
            </w:tcBorders>
            <w:shd w:val="clear" w:color="auto" w:fill="auto"/>
            <w:vAlign w:val="center"/>
          </w:tcPr>
          <w:p w14:paraId="572D51D1">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国有资本经营预算资金</w:t>
            </w:r>
          </w:p>
        </w:tc>
        <w:tc>
          <w:tcPr>
            <w:tcW w:w="1410" w:type="dxa"/>
            <w:gridSpan w:val="2"/>
            <w:tcBorders>
              <w:top w:val="nil"/>
              <w:left w:val="nil"/>
              <w:bottom w:val="nil"/>
              <w:right w:val="nil"/>
            </w:tcBorders>
            <w:shd w:val="clear" w:color="auto" w:fill="auto"/>
            <w:vAlign w:val="center"/>
          </w:tcPr>
          <w:p w14:paraId="78686FF3">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11" w:type="dxa"/>
            <w:gridSpan w:val="2"/>
            <w:vMerge w:val="continue"/>
            <w:tcBorders>
              <w:top w:val="nil"/>
              <w:left w:val="nil"/>
              <w:bottom w:val="nil"/>
              <w:right w:val="nil"/>
            </w:tcBorders>
            <w:shd w:val="clear" w:color="auto" w:fill="auto"/>
            <w:vAlign w:val="center"/>
          </w:tcPr>
          <w:p w14:paraId="56ADF983">
            <w:pPr>
              <w:jc w:val="center"/>
              <w:rPr>
                <w:rFonts w:hint="eastAsia" w:ascii="宋体" w:hAnsi="宋体" w:eastAsia="宋体" w:cs="宋体"/>
                <w:i w:val="0"/>
                <w:iCs w:val="0"/>
                <w:color w:val="000000"/>
                <w:sz w:val="22"/>
                <w:szCs w:val="22"/>
                <w:u w:val="none"/>
              </w:rPr>
            </w:pPr>
          </w:p>
        </w:tc>
      </w:tr>
      <w:tr w14:paraId="24627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248C33FB">
            <w:pPr>
              <w:jc w:val="center"/>
              <w:rPr>
                <w:rFonts w:hint="eastAsia" w:ascii="宋体" w:hAnsi="宋体" w:eastAsia="宋体" w:cs="宋体"/>
                <w:b/>
                <w:bCs/>
                <w:i w:val="0"/>
                <w:iCs w:val="0"/>
                <w:color w:val="000000"/>
                <w:sz w:val="22"/>
                <w:szCs w:val="22"/>
                <w:u w:val="none"/>
              </w:rPr>
            </w:pPr>
          </w:p>
        </w:tc>
        <w:tc>
          <w:tcPr>
            <w:tcW w:w="1394" w:type="dxa"/>
            <w:gridSpan w:val="2"/>
            <w:tcBorders>
              <w:top w:val="nil"/>
              <w:left w:val="nil"/>
              <w:bottom w:val="nil"/>
              <w:right w:val="nil"/>
            </w:tcBorders>
            <w:shd w:val="clear" w:color="auto" w:fill="auto"/>
            <w:vAlign w:val="center"/>
          </w:tcPr>
          <w:p w14:paraId="28BD93AF">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财政专户管理资金</w:t>
            </w:r>
          </w:p>
        </w:tc>
        <w:tc>
          <w:tcPr>
            <w:tcW w:w="1230" w:type="dxa"/>
            <w:tcBorders>
              <w:top w:val="nil"/>
              <w:left w:val="nil"/>
              <w:bottom w:val="nil"/>
              <w:right w:val="nil"/>
            </w:tcBorders>
            <w:shd w:val="clear" w:color="auto" w:fill="auto"/>
            <w:vAlign w:val="center"/>
          </w:tcPr>
          <w:p w14:paraId="11C72D8F">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229" w:type="dxa"/>
            <w:tcBorders>
              <w:top w:val="nil"/>
              <w:left w:val="nil"/>
              <w:bottom w:val="nil"/>
              <w:right w:val="nil"/>
            </w:tcBorders>
            <w:shd w:val="clear" w:color="auto" w:fill="auto"/>
            <w:vAlign w:val="center"/>
          </w:tcPr>
          <w:p w14:paraId="673078CC">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财政专户管理资金</w:t>
            </w:r>
          </w:p>
        </w:tc>
        <w:tc>
          <w:tcPr>
            <w:tcW w:w="1206" w:type="dxa"/>
            <w:tcBorders>
              <w:top w:val="nil"/>
              <w:left w:val="nil"/>
              <w:bottom w:val="nil"/>
              <w:right w:val="nil"/>
            </w:tcBorders>
            <w:shd w:val="clear" w:color="auto" w:fill="auto"/>
            <w:vAlign w:val="center"/>
          </w:tcPr>
          <w:p w14:paraId="3BDEC95F">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30" w:type="dxa"/>
            <w:gridSpan w:val="2"/>
            <w:tcBorders>
              <w:top w:val="nil"/>
              <w:left w:val="nil"/>
              <w:bottom w:val="nil"/>
              <w:right w:val="nil"/>
            </w:tcBorders>
            <w:shd w:val="clear" w:color="auto" w:fill="auto"/>
            <w:vAlign w:val="center"/>
          </w:tcPr>
          <w:p w14:paraId="12125511">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财政专户管理资金</w:t>
            </w:r>
          </w:p>
        </w:tc>
        <w:tc>
          <w:tcPr>
            <w:tcW w:w="1410" w:type="dxa"/>
            <w:gridSpan w:val="2"/>
            <w:tcBorders>
              <w:top w:val="nil"/>
              <w:left w:val="nil"/>
              <w:bottom w:val="nil"/>
              <w:right w:val="nil"/>
            </w:tcBorders>
            <w:shd w:val="clear" w:color="auto" w:fill="auto"/>
            <w:vAlign w:val="center"/>
          </w:tcPr>
          <w:p w14:paraId="30BE40F6">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11" w:type="dxa"/>
            <w:gridSpan w:val="2"/>
            <w:vMerge w:val="continue"/>
            <w:tcBorders>
              <w:top w:val="nil"/>
              <w:left w:val="nil"/>
              <w:bottom w:val="nil"/>
              <w:right w:val="nil"/>
            </w:tcBorders>
            <w:shd w:val="clear" w:color="auto" w:fill="auto"/>
            <w:vAlign w:val="center"/>
          </w:tcPr>
          <w:p w14:paraId="335FE43E">
            <w:pPr>
              <w:jc w:val="center"/>
              <w:rPr>
                <w:rFonts w:hint="eastAsia" w:ascii="宋体" w:hAnsi="宋体" w:eastAsia="宋体" w:cs="宋体"/>
                <w:i w:val="0"/>
                <w:iCs w:val="0"/>
                <w:color w:val="000000"/>
                <w:sz w:val="22"/>
                <w:szCs w:val="22"/>
                <w:u w:val="none"/>
              </w:rPr>
            </w:pPr>
          </w:p>
        </w:tc>
      </w:tr>
      <w:tr w14:paraId="41AC0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757A4651">
            <w:pPr>
              <w:jc w:val="center"/>
              <w:rPr>
                <w:rFonts w:hint="eastAsia" w:ascii="宋体" w:hAnsi="宋体" w:eastAsia="宋体" w:cs="宋体"/>
                <w:b/>
                <w:bCs/>
                <w:i w:val="0"/>
                <w:iCs w:val="0"/>
                <w:color w:val="000000"/>
                <w:sz w:val="22"/>
                <w:szCs w:val="22"/>
                <w:u w:val="none"/>
              </w:rPr>
            </w:pPr>
          </w:p>
        </w:tc>
        <w:tc>
          <w:tcPr>
            <w:tcW w:w="1394" w:type="dxa"/>
            <w:gridSpan w:val="2"/>
            <w:tcBorders>
              <w:top w:val="nil"/>
              <w:left w:val="nil"/>
              <w:bottom w:val="nil"/>
              <w:right w:val="nil"/>
            </w:tcBorders>
            <w:shd w:val="clear" w:color="auto" w:fill="auto"/>
            <w:vAlign w:val="center"/>
          </w:tcPr>
          <w:p w14:paraId="31EB988E">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单位资金</w:t>
            </w:r>
          </w:p>
        </w:tc>
        <w:tc>
          <w:tcPr>
            <w:tcW w:w="1230" w:type="dxa"/>
            <w:tcBorders>
              <w:top w:val="nil"/>
              <w:left w:val="nil"/>
              <w:bottom w:val="nil"/>
              <w:right w:val="nil"/>
            </w:tcBorders>
            <w:shd w:val="clear" w:color="auto" w:fill="auto"/>
            <w:vAlign w:val="center"/>
          </w:tcPr>
          <w:p w14:paraId="200649EB">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229" w:type="dxa"/>
            <w:tcBorders>
              <w:top w:val="nil"/>
              <w:left w:val="nil"/>
              <w:bottom w:val="nil"/>
              <w:right w:val="nil"/>
            </w:tcBorders>
            <w:shd w:val="clear" w:color="auto" w:fill="auto"/>
            <w:vAlign w:val="center"/>
          </w:tcPr>
          <w:p w14:paraId="2E42D10D">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单位资金</w:t>
            </w:r>
          </w:p>
        </w:tc>
        <w:tc>
          <w:tcPr>
            <w:tcW w:w="1206" w:type="dxa"/>
            <w:tcBorders>
              <w:top w:val="nil"/>
              <w:left w:val="nil"/>
              <w:bottom w:val="nil"/>
              <w:right w:val="nil"/>
            </w:tcBorders>
            <w:shd w:val="clear" w:color="auto" w:fill="auto"/>
            <w:vAlign w:val="center"/>
          </w:tcPr>
          <w:p w14:paraId="3E1352AF">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30" w:type="dxa"/>
            <w:gridSpan w:val="2"/>
            <w:tcBorders>
              <w:top w:val="nil"/>
              <w:left w:val="nil"/>
              <w:bottom w:val="nil"/>
              <w:right w:val="nil"/>
            </w:tcBorders>
            <w:shd w:val="clear" w:color="auto" w:fill="auto"/>
            <w:vAlign w:val="center"/>
          </w:tcPr>
          <w:p w14:paraId="48728090">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单位资金</w:t>
            </w:r>
          </w:p>
        </w:tc>
        <w:tc>
          <w:tcPr>
            <w:tcW w:w="1410" w:type="dxa"/>
            <w:gridSpan w:val="2"/>
            <w:tcBorders>
              <w:top w:val="nil"/>
              <w:left w:val="nil"/>
              <w:bottom w:val="nil"/>
              <w:right w:val="nil"/>
            </w:tcBorders>
            <w:shd w:val="clear" w:color="auto" w:fill="auto"/>
            <w:vAlign w:val="center"/>
          </w:tcPr>
          <w:p w14:paraId="21FE2153">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0.000000</w:t>
            </w:r>
          </w:p>
        </w:tc>
        <w:tc>
          <w:tcPr>
            <w:tcW w:w="1511" w:type="dxa"/>
            <w:gridSpan w:val="2"/>
            <w:vMerge w:val="continue"/>
            <w:tcBorders>
              <w:top w:val="nil"/>
              <w:left w:val="nil"/>
              <w:bottom w:val="nil"/>
              <w:right w:val="nil"/>
            </w:tcBorders>
            <w:shd w:val="clear" w:color="auto" w:fill="auto"/>
            <w:vAlign w:val="center"/>
          </w:tcPr>
          <w:p w14:paraId="4BD696EB">
            <w:pPr>
              <w:jc w:val="center"/>
              <w:rPr>
                <w:rFonts w:hint="eastAsia" w:ascii="宋体" w:hAnsi="宋体" w:eastAsia="宋体" w:cs="宋体"/>
                <w:i w:val="0"/>
                <w:iCs w:val="0"/>
                <w:color w:val="000000"/>
                <w:sz w:val="22"/>
                <w:szCs w:val="22"/>
                <w:u w:val="none"/>
              </w:rPr>
            </w:pPr>
          </w:p>
        </w:tc>
      </w:tr>
      <w:tr w14:paraId="3BCA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5" w:type="dxa"/>
            <w:vMerge w:val="restart"/>
            <w:tcBorders>
              <w:top w:val="nil"/>
              <w:left w:val="nil"/>
              <w:bottom w:val="nil"/>
              <w:right w:val="nil"/>
            </w:tcBorders>
            <w:shd w:val="clear" w:color="auto" w:fill="auto"/>
            <w:vAlign w:val="center"/>
          </w:tcPr>
          <w:p w14:paraId="4A887234">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三、目标完成</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情况</w:t>
            </w:r>
          </w:p>
        </w:tc>
        <w:tc>
          <w:tcPr>
            <w:tcW w:w="3853" w:type="dxa"/>
            <w:gridSpan w:val="4"/>
            <w:tcBorders>
              <w:top w:val="nil"/>
              <w:left w:val="nil"/>
              <w:bottom w:val="nil"/>
              <w:right w:val="nil"/>
            </w:tcBorders>
            <w:shd w:val="clear" w:color="auto" w:fill="auto"/>
            <w:vAlign w:val="center"/>
          </w:tcPr>
          <w:p w14:paraId="4611C6FA">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年度预期目标</w:t>
            </w:r>
          </w:p>
        </w:tc>
        <w:tc>
          <w:tcPr>
            <w:tcW w:w="4146" w:type="dxa"/>
            <w:gridSpan w:val="5"/>
            <w:tcBorders>
              <w:top w:val="nil"/>
              <w:left w:val="nil"/>
              <w:bottom w:val="nil"/>
              <w:right w:val="nil"/>
            </w:tcBorders>
            <w:shd w:val="clear" w:color="auto" w:fill="auto"/>
            <w:vAlign w:val="center"/>
          </w:tcPr>
          <w:p w14:paraId="7B8B0729">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具体完成情况</w:t>
            </w:r>
          </w:p>
        </w:tc>
        <w:tc>
          <w:tcPr>
            <w:tcW w:w="1511" w:type="dxa"/>
            <w:gridSpan w:val="2"/>
            <w:tcBorders>
              <w:top w:val="nil"/>
              <w:left w:val="nil"/>
              <w:bottom w:val="nil"/>
              <w:right w:val="nil"/>
            </w:tcBorders>
            <w:shd w:val="clear" w:color="auto" w:fill="auto"/>
            <w:vAlign w:val="center"/>
          </w:tcPr>
          <w:p w14:paraId="17983C30">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总体完成率(%)</w:t>
            </w:r>
          </w:p>
        </w:tc>
      </w:tr>
      <w:tr w14:paraId="24CAE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1035" w:type="dxa"/>
            <w:vMerge w:val="continue"/>
            <w:tcBorders>
              <w:top w:val="nil"/>
              <w:left w:val="nil"/>
              <w:bottom w:val="nil"/>
              <w:right w:val="nil"/>
            </w:tcBorders>
            <w:shd w:val="clear" w:color="auto" w:fill="auto"/>
            <w:vAlign w:val="center"/>
          </w:tcPr>
          <w:p w14:paraId="2E65D746">
            <w:pPr>
              <w:jc w:val="center"/>
              <w:rPr>
                <w:rFonts w:hint="eastAsia" w:ascii="宋体" w:hAnsi="宋体" w:eastAsia="宋体" w:cs="宋体"/>
                <w:b/>
                <w:bCs/>
                <w:i w:val="0"/>
                <w:iCs w:val="0"/>
                <w:color w:val="000000"/>
                <w:sz w:val="22"/>
                <w:szCs w:val="22"/>
                <w:u w:val="none"/>
              </w:rPr>
            </w:pPr>
          </w:p>
        </w:tc>
        <w:tc>
          <w:tcPr>
            <w:tcW w:w="3853" w:type="dxa"/>
            <w:gridSpan w:val="4"/>
            <w:tcBorders>
              <w:top w:val="nil"/>
              <w:left w:val="nil"/>
              <w:bottom w:val="nil"/>
              <w:right w:val="nil"/>
            </w:tcBorders>
            <w:shd w:val="clear" w:color="auto" w:fill="auto"/>
            <w:vAlign w:val="center"/>
          </w:tcPr>
          <w:p w14:paraId="6CD55C6B">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1.规范社区建设补助资金项目工作程序，提高社区服务水平。</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2.实现农村社区综合服务设施覆盖率达到80%以上。</w:t>
            </w:r>
          </w:p>
        </w:tc>
        <w:tc>
          <w:tcPr>
            <w:tcW w:w="4146" w:type="dxa"/>
            <w:gridSpan w:val="5"/>
            <w:tcBorders>
              <w:top w:val="nil"/>
              <w:left w:val="nil"/>
              <w:bottom w:val="nil"/>
              <w:right w:val="nil"/>
            </w:tcBorders>
            <w:shd w:val="clear" w:color="auto" w:fill="auto"/>
            <w:vAlign w:val="center"/>
          </w:tcPr>
          <w:p w14:paraId="0E980BDD">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社区服务水平显著提升，农村社区综合服务设施覆盖率达到</w:t>
            </w:r>
            <w:r>
              <w:rPr>
                <w:rFonts w:hint="eastAsia" w:ascii="宋体" w:hAnsi="宋体" w:eastAsia="宋体" w:cs="宋体"/>
                <w:i w:val="0"/>
                <w:iCs w:val="0"/>
                <w:color w:val="000000"/>
                <w:kern w:val="0"/>
                <w:sz w:val="22"/>
                <w:szCs w:val="22"/>
                <w:u w:val="none"/>
                <w:lang w:val="en-US" w:eastAsia="zh-CN" w:bidi="ar"/>
              </w:rPr>
              <w:t>85</w:t>
            </w:r>
            <w:r>
              <w:rPr>
                <w:rFonts w:ascii="宋体" w:hAnsi="宋体" w:eastAsia="宋体" w:cs="宋体"/>
                <w:i w:val="0"/>
                <w:iCs w:val="0"/>
                <w:color w:val="000000"/>
                <w:kern w:val="0"/>
                <w:sz w:val="22"/>
                <w:szCs w:val="22"/>
                <w:u w:val="none"/>
                <w:lang w:val="en-US" w:eastAsia="zh-CN" w:bidi="ar"/>
              </w:rPr>
              <w:t>%.</w:t>
            </w:r>
          </w:p>
        </w:tc>
        <w:tc>
          <w:tcPr>
            <w:tcW w:w="1511" w:type="dxa"/>
            <w:gridSpan w:val="2"/>
            <w:tcBorders>
              <w:top w:val="nil"/>
              <w:left w:val="nil"/>
              <w:bottom w:val="nil"/>
              <w:right w:val="nil"/>
            </w:tcBorders>
            <w:shd w:val="clear" w:color="auto" w:fill="auto"/>
            <w:vAlign w:val="center"/>
          </w:tcPr>
          <w:p w14:paraId="15BEAFD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100</w:t>
            </w:r>
          </w:p>
        </w:tc>
      </w:tr>
      <w:tr w14:paraId="49620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5" w:type="dxa"/>
            <w:vMerge w:val="restart"/>
            <w:tcBorders>
              <w:top w:val="nil"/>
              <w:left w:val="nil"/>
              <w:bottom w:val="nil"/>
              <w:right w:val="nil"/>
            </w:tcBorders>
            <w:shd w:val="clear" w:color="auto" w:fill="auto"/>
            <w:vAlign w:val="center"/>
          </w:tcPr>
          <w:p w14:paraId="1AB58C20">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四、年度绩效</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指标完成情况</w:t>
            </w:r>
          </w:p>
        </w:tc>
        <w:tc>
          <w:tcPr>
            <w:tcW w:w="645" w:type="dxa"/>
            <w:vMerge w:val="restart"/>
            <w:tcBorders>
              <w:top w:val="nil"/>
              <w:left w:val="nil"/>
              <w:bottom w:val="nil"/>
              <w:right w:val="nil"/>
            </w:tcBorders>
            <w:shd w:val="clear" w:color="auto" w:fill="auto"/>
            <w:vAlign w:val="center"/>
          </w:tcPr>
          <w:p w14:paraId="3287A632">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一级指标</w:t>
            </w:r>
          </w:p>
        </w:tc>
        <w:tc>
          <w:tcPr>
            <w:tcW w:w="749" w:type="dxa"/>
            <w:vMerge w:val="restart"/>
            <w:tcBorders>
              <w:top w:val="nil"/>
              <w:left w:val="nil"/>
              <w:bottom w:val="nil"/>
              <w:right w:val="nil"/>
            </w:tcBorders>
            <w:shd w:val="clear" w:color="auto" w:fill="auto"/>
            <w:vAlign w:val="center"/>
          </w:tcPr>
          <w:p w14:paraId="6FA5C4BD">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二级指标</w:t>
            </w:r>
          </w:p>
        </w:tc>
        <w:tc>
          <w:tcPr>
            <w:tcW w:w="1230" w:type="dxa"/>
            <w:vMerge w:val="restart"/>
            <w:tcBorders>
              <w:top w:val="nil"/>
              <w:left w:val="nil"/>
              <w:bottom w:val="nil"/>
              <w:right w:val="nil"/>
            </w:tcBorders>
            <w:shd w:val="clear" w:color="auto" w:fill="auto"/>
            <w:vAlign w:val="center"/>
          </w:tcPr>
          <w:p w14:paraId="234C8849">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三级指标</w:t>
            </w:r>
          </w:p>
        </w:tc>
        <w:tc>
          <w:tcPr>
            <w:tcW w:w="1229" w:type="dxa"/>
            <w:vMerge w:val="restart"/>
            <w:tcBorders>
              <w:top w:val="nil"/>
              <w:left w:val="nil"/>
              <w:bottom w:val="nil"/>
              <w:right w:val="nil"/>
            </w:tcBorders>
            <w:shd w:val="clear" w:color="auto" w:fill="auto"/>
            <w:vAlign w:val="center"/>
          </w:tcPr>
          <w:p w14:paraId="01A50251">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指标说明</w:t>
            </w:r>
          </w:p>
        </w:tc>
        <w:tc>
          <w:tcPr>
            <w:tcW w:w="1206" w:type="dxa"/>
            <w:vMerge w:val="restart"/>
            <w:tcBorders>
              <w:top w:val="nil"/>
              <w:left w:val="nil"/>
              <w:bottom w:val="nil"/>
              <w:right w:val="nil"/>
            </w:tcBorders>
            <w:shd w:val="clear" w:color="auto" w:fill="auto"/>
            <w:vAlign w:val="center"/>
          </w:tcPr>
          <w:p w14:paraId="72390748">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指标分值</w:t>
            </w:r>
          </w:p>
        </w:tc>
        <w:tc>
          <w:tcPr>
            <w:tcW w:w="2160" w:type="dxa"/>
            <w:gridSpan w:val="3"/>
            <w:tcBorders>
              <w:top w:val="nil"/>
              <w:left w:val="nil"/>
              <w:bottom w:val="nil"/>
              <w:right w:val="nil"/>
            </w:tcBorders>
            <w:shd w:val="clear" w:color="auto" w:fill="auto"/>
            <w:vAlign w:val="center"/>
          </w:tcPr>
          <w:p w14:paraId="5B17F286">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预期指标值</w:t>
            </w:r>
          </w:p>
        </w:tc>
        <w:tc>
          <w:tcPr>
            <w:tcW w:w="780" w:type="dxa"/>
            <w:vMerge w:val="restart"/>
            <w:tcBorders>
              <w:top w:val="nil"/>
              <w:left w:val="nil"/>
              <w:bottom w:val="nil"/>
              <w:right w:val="nil"/>
            </w:tcBorders>
            <w:shd w:val="clear" w:color="auto" w:fill="auto"/>
            <w:vAlign w:val="center"/>
          </w:tcPr>
          <w:p w14:paraId="7E925E92">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实际完成值</w:t>
            </w:r>
          </w:p>
        </w:tc>
        <w:tc>
          <w:tcPr>
            <w:tcW w:w="720" w:type="dxa"/>
            <w:vMerge w:val="restart"/>
            <w:tcBorders>
              <w:top w:val="nil"/>
              <w:left w:val="nil"/>
              <w:bottom w:val="nil"/>
              <w:right w:val="nil"/>
            </w:tcBorders>
            <w:shd w:val="clear" w:color="auto" w:fill="auto"/>
            <w:vAlign w:val="center"/>
          </w:tcPr>
          <w:p w14:paraId="42231AD2">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完成情况</w:t>
            </w:r>
          </w:p>
        </w:tc>
        <w:tc>
          <w:tcPr>
            <w:tcW w:w="791" w:type="dxa"/>
            <w:vMerge w:val="restart"/>
            <w:tcBorders>
              <w:top w:val="nil"/>
              <w:left w:val="nil"/>
              <w:bottom w:val="nil"/>
              <w:right w:val="nil"/>
            </w:tcBorders>
            <w:shd w:val="clear" w:color="auto" w:fill="auto"/>
            <w:vAlign w:val="center"/>
          </w:tcPr>
          <w:p w14:paraId="06C85891">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自评得分</w:t>
            </w:r>
          </w:p>
        </w:tc>
      </w:tr>
      <w:tr w14:paraId="05FE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35" w:type="dxa"/>
            <w:vMerge w:val="continue"/>
            <w:tcBorders>
              <w:top w:val="nil"/>
              <w:left w:val="nil"/>
              <w:bottom w:val="nil"/>
              <w:right w:val="nil"/>
            </w:tcBorders>
            <w:shd w:val="clear" w:color="auto" w:fill="auto"/>
            <w:vAlign w:val="center"/>
          </w:tcPr>
          <w:p w14:paraId="70F0DE9B">
            <w:pPr>
              <w:jc w:val="center"/>
              <w:rPr>
                <w:rFonts w:hint="eastAsia" w:ascii="宋体" w:hAnsi="宋体" w:eastAsia="宋体" w:cs="宋体"/>
                <w:b/>
                <w:bCs/>
                <w:i w:val="0"/>
                <w:iCs w:val="0"/>
                <w:color w:val="000000"/>
                <w:sz w:val="22"/>
                <w:szCs w:val="22"/>
                <w:u w:val="none"/>
              </w:rPr>
            </w:pPr>
          </w:p>
        </w:tc>
        <w:tc>
          <w:tcPr>
            <w:tcW w:w="645" w:type="dxa"/>
            <w:vMerge w:val="continue"/>
            <w:tcBorders>
              <w:top w:val="nil"/>
              <w:left w:val="nil"/>
              <w:bottom w:val="nil"/>
              <w:right w:val="nil"/>
            </w:tcBorders>
            <w:shd w:val="clear" w:color="auto" w:fill="auto"/>
            <w:vAlign w:val="center"/>
          </w:tcPr>
          <w:p w14:paraId="274A8E1D">
            <w:pPr>
              <w:jc w:val="center"/>
              <w:rPr>
                <w:rFonts w:hint="eastAsia" w:ascii="宋体" w:hAnsi="宋体" w:eastAsia="宋体" w:cs="宋体"/>
                <w:b/>
                <w:bCs/>
                <w:i w:val="0"/>
                <w:iCs w:val="0"/>
                <w:color w:val="000000"/>
                <w:sz w:val="22"/>
                <w:szCs w:val="22"/>
                <w:u w:val="none"/>
              </w:rPr>
            </w:pPr>
          </w:p>
        </w:tc>
        <w:tc>
          <w:tcPr>
            <w:tcW w:w="749" w:type="dxa"/>
            <w:vMerge w:val="continue"/>
            <w:tcBorders>
              <w:top w:val="nil"/>
              <w:left w:val="nil"/>
              <w:bottom w:val="nil"/>
              <w:right w:val="nil"/>
            </w:tcBorders>
            <w:shd w:val="clear" w:color="auto" w:fill="auto"/>
            <w:vAlign w:val="center"/>
          </w:tcPr>
          <w:p w14:paraId="610E9E52">
            <w:pPr>
              <w:jc w:val="center"/>
              <w:rPr>
                <w:rFonts w:hint="eastAsia" w:ascii="宋体" w:hAnsi="宋体" w:eastAsia="宋体" w:cs="宋体"/>
                <w:b/>
                <w:bCs/>
                <w:i w:val="0"/>
                <w:iCs w:val="0"/>
                <w:color w:val="000000"/>
                <w:sz w:val="22"/>
                <w:szCs w:val="22"/>
                <w:u w:val="none"/>
              </w:rPr>
            </w:pPr>
          </w:p>
        </w:tc>
        <w:tc>
          <w:tcPr>
            <w:tcW w:w="1230" w:type="dxa"/>
            <w:vMerge w:val="continue"/>
            <w:tcBorders>
              <w:top w:val="nil"/>
              <w:left w:val="nil"/>
              <w:bottom w:val="nil"/>
              <w:right w:val="nil"/>
            </w:tcBorders>
            <w:shd w:val="clear" w:color="auto" w:fill="auto"/>
            <w:vAlign w:val="center"/>
          </w:tcPr>
          <w:p w14:paraId="1706E362">
            <w:pPr>
              <w:jc w:val="center"/>
              <w:rPr>
                <w:rFonts w:hint="eastAsia" w:ascii="宋体" w:hAnsi="宋体" w:eastAsia="宋体" w:cs="宋体"/>
                <w:b/>
                <w:bCs/>
                <w:i w:val="0"/>
                <w:iCs w:val="0"/>
                <w:color w:val="000000"/>
                <w:sz w:val="22"/>
                <w:szCs w:val="22"/>
                <w:u w:val="none"/>
              </w:rPr>
            </w:pPr>
          </w:p>
        </w:tc>
        <w:tc>
          <w:tcPr>
            <w:tcW w:w="1229" w:type="dxa"/>
            <w:vMerge w:val="continue"/>
            <w:tcBorders>
              <w:top w:val="nil"/>
              <w:left w:val="nil"/>
              <w:bottom w:val="nil"/>
              <w:right w:val="nil"/>
            </w:tcBorders>
            <w:shd w:val="clear" w:color="auto" w:fill="auto"/>
            <w:vAlign w:val="center"/>
          </w:tcPr>
          <w:p w14:paraId="5116FBC0">
            <w:pPr>
              <w:jc w:val="center"/>
              <w:rPr>
                <w:rFonts w:hint="eastAsia" w:ascii="宋体" w:hAnsi="宋体" w:eastAsia="宋体" w:cs="宋体"/>
                <w:b/>
                <w:bCs/>
                <w:i w:val="0"/>
                <w:iCs w:val="0"/>
                <w:color w:val="000000"/>
                <w:sz w:val="22"/>
                <w:szCs w:val="22"/>
                <w:u w:val="none"/>
              </w:rPr>
            </w:pPr>
          </w:p>
        </w:tc>
        <w:tc>
          <w:tcPr>
            <w:tcW w:w="1206" w:type="dxa"/>
            <w:vMerge w:val="continue"/>
            <w:tcBorders>
              <w:top w:val="nil"/>
              <w:left w:val="nil"/>
              <w:bottom w:val="nil"/>
              <w:right w:val="nil"/>
            </w:tcBorders>
            <w:shd w:val="clear" w:color="auto" w:fill="auto"/>
            <w:vAlign w:val="center"/>
          </w:tcPr>
          <w:p w14:paraId="0FD2DF96">
            <w:pPr>
              <w:jc w:val="center"/>
              <w:rPr>
                <w:rFonts w:hint="eastAsia" w:ascii="宋体" w:hAnsi="宋体" w:eastAsia="宋体" w:cs="宋体"/>
                <w:b/>
                <w:bCs/>
                <w:i w:val="0"/>
                <w:iCs w:val="0"/>
                <w:color w:val="000000"/>
                <w:sz w:val="22"/>
                <w:szCs w:val="22"/>
                <w:u w:val="none"/>
              </w:rPr>
            </w:pPr>
          </w:p>
        </w:tc>
        <w:tc>
          <w:tcPr>
            <w:tcW w:w="705" w:type="dxa"/>
            <w:tcBorders>
              <w:top w:val="nil"/>
              <w:left w:val="nil"/>
              <w:bottom w:val="nil"/>
              <w:right w:val="nil"/>
            </w:tcBorders>
            <w:shd w:val="clear" w:color="auto" w:fill="auto"/>
            <w:vAlign w:val="center"/>
          </w:tcPr>
          <w:p w14:paraId="3F91702A">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符号</w:t>
            </w:r>
          </w:p>
        </w:tc>
        <w:tc>
          <w:tcPr>
            <w:tcW w:w="825" w:type="dxa"/>
            <w:tcBorders>
              <w:top w:val="nil"/>
              <w:left w:val="nil"/>
              <w:bottom w:val="nil"/>
              <w:right w:val="nil"/>
            </w:tcBorders>
            <w:shd w:val="clear" w:color="auto" w:fill="auto"/>
            <w:vAlign w:val="center"/>
          </w:tcPr>
          <w:p w14:paraId="756DD489">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值</w:t>
            </w:r>
          </w:p>
        </w:tc>
        <w:tc>
          <w:tcPr>
            <w:tcW w:w="630" w:type="dxa"/>
            <w:tcBorders>
              <w:top w:val="nil"/>
              <w:left w:val="nil"/>
              <w:bottom w:val="nil"/>
              <w:right w:val="nil"/>
            </w:tcBorders>
            <w:shd w:val="clear" w:color="auto" w:fill="auto"/>
            <w:vAlign w:val="center"/>
          </w:tcPr>
          <w:p w14:paraId="59A36EA9">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单位(文字描述)</w:t>
            </w:r>
          </w:p>
        </w:tc>
        <w:tc>
          <w:tcPr>
            <w:tcW w:w="780" w:type="dxa"/>
            <w:vMerge w:val="continue"/>
            <w:tcBorders>
              <w:top w:val="nil"/>
              <w:left w:val="nil"/>
              <w:bottom w:val="nil"/>
              <w:right w:val="nil"/>
            </w:tcBorders>
            <w:shd w:val="clear" w:color="auto" w:fill="auto"/>
            <w:vAlign w:val="center"/>
          </w:tcPr>
          <w:p w14:paraId="75E01571">
            <w:pPr>
              <w:jc w:val="center"/>
              <w:rPr>
                <w:rFonts w:hint="eastAsia" w:ascii="宋体" w:hAnsi="宋体" w:eastAsia="宋体" w:cs="宋体"/>
                <w:b/>
                <w:bCs/>
                <w:i w:val="0"/>
                <w:iCs w:val="0"/>
                <w:color w:val="000000"/>
                <w:sz w:val="22"/>
                <w:szCs w:val="22"/>
                <w:u w:val="none"/>
              </w:rPr>
            </w:pPr>
          </w:p>
        </w:tc>
        <w:tc>
          <w:tcPr>
            <w:tcW w:w="720" w:type="dxa"/>
            <w:vMerge w:val="continue"/>
            <w:tcBorders>
              <w:top w:val="nil"/>
              <w:left w:val="nil"/>
              <w:bottom w:val="nil"/>
              <w:right w:val="nil"/>
            </w:tcBorders>
            <w:shd w:val="clear" w:color="auto" w:fill="auto"/>
            <w:vAlign w:val="center"/>
          </w:tcPr>
          <w:p w14:paraId="53731B13">
            <w:pPr>
              <w:jc w:val="center"/>
              <w:rPr>
                <w:rFonts w:hint="eastAsia" w:ascii="宋体" w:hAnsi="宋体" w:eastAsia="宋体" w:cs="宋体"/>
                <w:b/>
                <w:bCs/>
                <w:i w:val="0"/>
                <w:iCs w:val="0"/>
                <w:color w:val="000000"/>
                <w:sz w:val="22"/>
                <w:szCs w:val="22"/>
                <w:u w:val="none"/>
              </w:rPr>
            </w:pPr>
          </w:p>
        </w:tc>
        <w:tc>
          <w:tcPr>
            <w:tcW w:w="791" w:type="dxa"/>
            <w:vMerge w:val="continue"/>
            <w:tcBorders>
              <w:top w:val="nil"/>
              <w:left w:val="nil"/>
              <w:bottom w:val="nil"/>
              <w:right w:val="nil"/>
            </w:tcBorders>
            <w:shd w:val="clear" w:color="auto" w:fill="auto"/>
            <w:vAlign w:val="center"/>
          </w:tcPr>
          <w:p w14:paraId="238EC32F">
            <w:pPr>
              <w:jc w:val="center"/>
              <w:rPr>
                <w:rFonts w:hint="eastAsia" w:ascii="宋体" w:hAnsi="宋体" w:eastAsia="宋体" w:cs="宋体"/>
                <w:b/>
                <w:bCs/>
                <w:i w:val="0"/>
                <w:iCs w:val="0"/>
                <w:color w:val="000000"/>
                <w:sz w:val="22"/>
                <w:szCs w:val="22"/>
                <w:u w:val="none"/>
              </w:rPr>
            </w:pPr>
          </w:p>
        </w:tc>
      </w:tr>
      <w:tr w14:paraId="12F2E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09EAFBA0">
            <w:pPr>
              <w:jc w:val="center"/>
              <w:rPr>
                <w:rFonts w:hint="eastAsia" w:ascii="宋体" w:hAnsi="宋体" w:eastAsia="宋体" w:cs="宋体"/>
                <w:b/>
                <w:bCs/>
                <w:i w:val="0"/>
                <w:iCs w:val="0"/>
                <w:color w:val="000000"/>
                <w:sz w:val="22"/>
                <w:szCs w:val="22"/>
                <w:u w:val="none"/>
              </w:rPr>
            </w:pPr>
          </w:p>
        </w:tc>
        <w:tc>
          <w:tcPr>
            <w:tcW w:w="645" w:type="dxa"/>
            <w:vMerge w:val="restart"/>
            <w:tcBorders>
              <w:top w:val="nil"/>
              <w:left w:val="nil"/>
              <w:bottom w:val="nil"/>
              <w:right w:val="nil"/>
            </w:tcBorders>
            <w:shd w:val="clear" w:color="auto" w:fill="auto"/>
            <w:vAlign w:val="center"/>
          </w:tcPr>
          <w:p w14:paraId="2256E16A">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74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3138139E">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数量指标</w:t>
            </w:r>
          </w:p>
        </w:tc>
        <w:tc>
          <w:tcPr>
            <w:tcW w:w="12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03D76DD3">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补助项目数量</w:t>
            </w:r>
          </w:p>
        </w:tc>
        <w:tc>
          <w:tcPr>
            <w:tcW w:w="122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751377BC">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补助项目数量</w:t>
            </w:r>
          </w:p>
        </w:tc>
        <w:tc>
          <w:tcPr>
            <w:tcW w:w="1206" w:type="dxa"/>
            <w:tcBorders>
              <w:top w:val="nil"/>
              <w:left w:val="nil"/>
              <w:bottom w:val="nil"/>
              <w:right w:val="nil"/>
            </w:tcBorders>
            <w:shd w:val="clear" w:color="FFFFFF" w:themeColor="background1" w:fill="auto"/>
            <w:vAlign w:val="center"/>
          </w:tcPr>
          <w:p w14:paraId="75DBC0E6">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70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0D1B4755">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82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48A780DD">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6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0889C6CD">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个</w:t>
            </w:r>
          </w:p>
        </w:tc>
        <w:tc>
          <w:tcPr>
            <w:tcW w:w="780" w:type="dxa"/>
            <w:tcBorders>
              <w:top w:val="nil"/>
              <w:left w:val="nil"/>
              <w:bottom w:val="nil"/>
              <w:right w:val="nil"/>
            </w:tcBorders>
            <w:shd w:val="clear" w:color="FFFFFF" w:themeColor="background1" w:fill="auto"/>
            <w:vAlign w:val="center"/>
          </w:tcPr>
          <w:p w14:paraId="53A1F4DA">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1个</w:t>
            </w:r>
          </w:p>
        </w:tc>
        <w:tc>
          <w:tcPr>
            <w:tcW w:w="720" w:type="dxa"/>
            <w:tcBorders>
              <w:top w:val="nil"/>
              <w:left w:val="nil"/>
              <w:bottom w:val="nil"/>
              <w:right w:val="nil"/>
            </w:tcBorders>
            <w:shd w:val="clear" w:color="FFFFFF" w:themeColor="background1" w:fill="auto"/>
            <w:vAlign w:val="center"/>
          </w:tcPr>
          <w:p w14:paraId="59CE999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91" w:type="dxa"/>
            <w:tcBorders>
              <w:top w:val="nil"/>
              <w:left w:val="nil"/>
              <w:bottom w:val="nil"/>
              <w:right w:val="nil"/>
            </w:tcBorders>
            <w:shd w:val="clear" w:color="FFFFFF" w:themeColor="background1" w:fill="auto"/>
            <w:vAlign w:val="center"/>
          </w:tcPr>
          <w:p w14:paraId="3CC79F81">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r>
      <w:tr w14:paraId="7C2B7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5691CED8">
            <w:pPr>
              <w:jc w:val="center"/>
              <w:rPr>
                <w:rFonts w:hint="eastAsia" w:ascii="宋体" w:hAnsi="宋体" w:eastAsia="宋体" w:cs="宋体"/>
                <w:b/>
                <w:bCs/>
                <w:i w:val="0"/>
                <w:iCs w:val="0"/>
                <w:color w:val="000000"/>
                <w:sz w:val="22"/>
                <w:szCs w:val="22"/>
                <w:u w:val="none"/>
              </w:rPr>
            </w:pPr>
          </w:p>
        </w:tc>
        <w:tc>
          <w:tcPr>
            <w:tcW w:w="645" w:type="dxa"/>
            <w:vMerge w:val="continue"/>
            <w:tcBorders>
              <w:top w:val="nil"/>
              <w:left w:val="nil"/>
              <w:bottom w:val="nil"/>
              <w:right w:val="nil"/>
            </w:tcBorders>
            <w:shd w:val="clear" w:color="auto" w:fill="auto"/>
            <w:vAlign w:val="center"/>
          </w:tcPr>
          <w:p w14:paraId="069F4FCA">
            <w:pPr>
              <w:jc w:val="center"/>
              <w:rPr>
                <w:rFonts w:hint="eastAsia" w:ascii="宋体" w:hAnsi="宋体" w:eastAsia="宋体" w:cs="宋体"/>
                <w:b/>
                <w:bCs/>
                <w:i w:val="0"/>
                <w:iCs w:val="0"/>
                <w:color w:val="000000"/>
                <w:sz w:val="22"/>
                <w:szCs w:val="22"/>
                <w:u w:val="none"/>
              </w:rPr>
            </w:pPr>
          </w:p>
        </w:tc>
        <w:tc>
          <w:tcPr>
            <w:tcW w:w="74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5101D40">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质量指标</w:t>
            </w:r>
          </w:p>
        </w:tc>
        <w:tc>
          <w:tcPr>
            <w:tcW w:w="12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490AEC6F">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项目验收合格率</w:t>
            </w:r>
          </w:p>
        </w:tc>
        <w:tc>
          <w:tcPr>
            <w:tcW w:w="122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3D052D32">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项目验收合格率</w:t>
            </w:r>
          </w:p>
        </w:tc>
        <w:tc>
          <w:tcPr>
            <w:tcW w:w="1206" w:type="dxa"/>
            <w:tcBorders>
              <w:top w:val="nil"/>
              <w:left w:val="nil"/>
              <w:bottom w:val="nil"/>
              <w:right w:val="nil"/>
            </w:tcBorders>
            <w:shd w:val="clear" w:color="FFFFFF" w:themeColor="background1" w:fill="auto"/>
            <w:vAlign w:val="center"/>
          </w:tcPr>
          <w:p w14:paraId="288C9E7E">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70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4CAE377C">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82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7B34281C">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100</w:t>
            </w:r>
          </w:p>
        </w:tc>
        <w:tc>
          <w:tcPr>
            <w:tcW w:w="6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1971D821">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780" w:type="dxa"/>
            <w:tcBorders>
              <w:top w:val="nil"/>
              <w:left w:val="nil"/>
              <w:bottom w:val="nil"/>
              <w:right w:val="nil"/>
            </w:tcBorders>
            <w:shd w:val="clear" w:color="FFFFFF" w:themeColor="background1" w:fill="auto"/>
            <w:vAlign w:val="center"/>
          </w:tcPr>
          <w:p w14:paraId="44BA16C2">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100%</w:t>
            </w:r>
          </w:p>
        </w:tc>
        <w:tc>
          <w:tcPr>
            <w:tcW w:w="720" w:type="dxa"/>
            <w:tcBorders>
              <w:top w:val="nil"/>
              <w:left w:val="nil"/>
              <w:bottom w:val="nil"/>
              <w:right w:val="nil"/>
            </w:tcBorders>
            <w:shd w:val="clear" w:color="FFFFFF" w:themeColor="background1" w:fill="auto"/>
            <w:vAlign w:val="center"/>
          </w:tcPr>
          <w:p w14:paraId="434297B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91" w:type="dxa"/>
            <w:tcBorders>
              <w:top w:val="nil"/>
              <w:left w:val="nil"/>
              <w:bottom w:val="nil"/>
              <w:right w:val="nil"/>
            </w:tcBorders>
            <w:shd w:val="clear" w:color="FFFFFF" w:themeColor="background1" w:fill="auto"/>
            <w:vAlign w:val="center"/>
          </w:tcPr>
          <w:p w14:paraId="243BC9A5">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r>
      <w:tr w14:paraId="46842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35" w:type="dxa"/>
            <w:vMerge w:val="continue"/>
            <w:tcBorders>
              <w:top w:val="nil"/>
              <w:left w:val="nil"/>
              <w:bottom w:val="nil"/>
              <w:right w:val="nil"/>
            </w:tcBorders>
            <w:shd w:val="clear" w:color="auto" w:fill="auto"/>
            <w:vAlign w:val="center"/>
          </w:tcPr>
          <w:p w14:paraId="4FA2B163">
            <w:pPr>
              <w:jc w:val="center"/>
              <w:rPr>
                <w:rFonts w:hint="eastAsia" w:ascii="宋体" w:hAnsi="宋体" w:eastAsia="宋体" w:cs="宋体"/>
                <w:b/>
                <w:bCs/>
                <w:i w:val="0"/>
                <w:iCs w:val="0"/>
                <w:color w:val="000000"/>
                <w:sz w:val="22"/>
                <w:szCs w:val="22"/>
                <w:u w:val="none"/>
              </w:rPr>
            </w:pPr>
          </w:p>
        </w:tc>
        <w:tc>
          <w:tcPr>
            <w:tcW w:w="645" w:type="dxa"/>
            <w:vMerge w:val="continue"/>
            <w:tcBorders>
              <w:top w:val="nil"/>
              <w:left w:val="nil"/>
              <w:bottom w:val="nil"/>
              <w:right w:val="nil"/>
            </w:tcBorders>
            <w:shd w:val="clear" w:color="auto" w:fill="auto"/>
            <w:vAlign w:val="center"/>
          </w:tcPr>
          <w:p w14:paraId="10A39A3F">
            <w:pPr>
              <w:jc w:val="center"/>
              <w:rPr>
                <w:rFonts w:hint="eastAsia" w:ascii="宋体" w:hAnsi="宋体" w:eastAsia="宋体" w:cs="宋体"/>
                <w:b/>
                <w:bCs/>
                <w:i w:val="0"/>
                <w:iCs w:val="0"/>
                <w:color w:val="000000"/>
                <w:sz w:val="22"/>
                <w:szCs w:val="22"/>
                <w:u w:val="none"/>
              </w:rPr>
            </w:pPr>
          </w:p>
        </w:tc>
        <w:tc>
          <w:tcPr>
            <w:tcW w:w="74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6FD2B91">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时效指标</w:t>
            </w:r>
          </w:p>
        </w:tc>
        <w:tc>
          <w:tcPr>
            <w:tcW w:w="12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58A1762F">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项目实施至项目完成的时间</w:t>
            </w:r>
          </w:p>
        </w:tc>
        <w:tc>
          <w:tcPr>
            <w:tcW w:w="122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5D99B3E9">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项目实施至项目完成的时间</w:t>
            </w:r>
          </w:p>
        </w:tc>
        <w:tc>
          <w:tcPr>
            <w:tcW w:w="1206" w:type="dxa"/>
            <w:tcBorders>
              <w:top w:val="nil"/>
              <w:left w:val="nil"/>
              <w:bottom w:val="nil"/>
              <w:right w:val="nil"/>
            </w:tcBorders>
            <w:shd w:val="clear" w:color="FFFFFF" w:themeColor="background1" w:fill="auto"/>
            <w:vAlign w:val="center"/>
          </w:tcPr>
          <w:p w14:paraId="75918C28">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70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58E3D861">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82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396DCCEA">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365</w:t>
            </w:r>
          </w:p>
        </w:tc>
        <w:tc>
          <w:tcPr>
            <w:tcW w:w="6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13088DE3">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天</w:t>
            </w:r>
          </w:p>
        </w:tc>
        <w:tc>
          <w:tcPr>
            <w:tcW w:w="780" w:type="dxa"/>
            <w:tcBorders>
              <w:top w:val="nil"/>
              <w:left w:val="nil"/>
              <w:bottom w:val="nil"/>
              <w:right w:val="nil"/>
            </w:tcBorders>
            <w:shd w:val="clear" w:color="FFFFFF" w:themeColor="background1" w:fill="auto"/>
            <w:vAlign w:val="center"/>
          </w:tcPr>
          <w:p w14:paraId="3D1AC522">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365天</w:t>
            </w:r>
          </w:p>
        </w:tc>
        <w:tc>
          <w:tcPr>
            <w:tcW w:w="720" w:type="dxa"/>
            <w:tcBorders>
              <w:top w:val="nil"/>
              <w:left w:val="nil"/>
              <w:bottom w:val="nil"/>
              <w:right w:val="nil"/>
            </w:tcBorders>
            <w:shd w:val="clear" w:color="FFFFFF" w:themeColor="background1" w:fill="auto"/>
            <w:vAlign w:val="center"/>
          </w:tcPr>
          <w:p w14:paraId="35A2A6F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91" w:type="dxa"/>
            <w:tcBorders>
              <w:top w:val="nil"/>
              <w:left w:val="nil"/>
              <w:bottom w:val="nil"/>
              <w:right w:val="nil"/>
            </w:tcBorders>
            <w:shd w:val="clear" w:color="FFFFFF" w:themeColor="background1" w:fill="auto"/>
            <w:vAlign w:val="center"/>
          </w:tcPr>
          <w:p w14:paraId="2CF357D0">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r>
      <w:tr w14:paraId="46094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35" w:type="dxa"/>
            <w:vMerge w:val="continue"/>
            <w:tcBorders>
              <w:top w:val="nil"/>
              <w:left w:val="nil"/>
              <w:bottom w:val="nil"/>
              <w:right w:val="nil"/>
            </w:tcBorders>
            <w:shd w:val="clear" w:color="auto" w:fill="auto"/>
            <w:vAlign w:val="center"/>
          </w:tcPr>
          <w:p w14:paraId="36B9C3F9">
            <w:pPr>
              <w:jc w:val="center"/>
              <w:rPr>
                <w:rFonts w:hint="eastAsia" w:ascii="宋体" w:hAnsi="宋体" w:eastAsia="宋体" w:cs="宋体"/>
                <w:b/>
                <w:bCs/>
                <w:i w:val="0"/>
                <w:iCs w:val="0"/>
                <w:color w:val="000000"/>
                <w:sz w:val="22"/>
                <w:szCs w:val="22"/>
                <w:u w:val="none"/>
              </w:rPr>
            </w:pPr>
          </w:p>
        </w:tc>
        <w:tc>
          <w:tcPr>
            <w:tcW w:w="645" w:type="dxa"/>
            <w:vMerge w:val="continue"/>
            <w:tcBorders>
              <w:top w:val="nil"/>
              <w:left w:val="nil"/>
              <w:bottom w:val="nil"/>
              <w:right w:val="nil"/>
            </w:tcBorders>
            <w:shd w:val="clear" w:color="auto" w:fill="auto"/>
            <w:vAlign w:val="center"/>
          </w:tcPr>
          <w:p w14:paraId="5FA08C30">
            <w:pPr>
              <w:jc w:val="center"/>
              <w:rPr>
                <w:rFonts w:hint="eastAsia" w:ascii="宋体" w:hAnsi="宋体" w:eastAsia="宋体" w:cs="宋体"/>
                <w:b/>
                <w:bCs/>
                <w:i w:val="0"/>
                <w:iCs w:val="0"/>
                <w:color w:val="000000"/>
                <w:sz w:val="22"/>
                <w:szCs w:val="22"/>
                <w:u w:val="none"/>
              </w:rPr>
            </w:pPr>
          </w:p>
        </w:tc>
        <w:tc>
          <w:tcPr>
            <w:tcW w:w="74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20708A83">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成本指标</w:t>
            </w:r>
          </w:p>
        </w:tc>
        <w:tc>
          <w:tcPr>
            <w:tcW w:w="12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4BD0C1EB">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项目最高补助金额标准</w:t>
            </w:r>
          </w:p>
        </w:tc>
        <w:tc>
          <w:tcPr>
            <w:tcW w:w="122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1E454E1B">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项目最高补助金额标准</w:t>
            </w:r>
          </w:p>
        </w:tc>
        <w:tc>
          <w:tcPr>
            <w:tcW w:w="1206" w:type="dxa"/>
            <w:tcBorders>
              <w:top w:val="nil"/>
              <w:left w:val="nil"/>
              <w:bottom w:val="nil"/>
              <w:right w:val="nil"/>
            </w:tcBorders>
            <w:shd w:val="clear" w:color="FFFFFF" w:themeColor="background1" w:fill="auto"/>
            <w:vAlign w:val="center"/>
          </w:tcPr>
          <w:p w14:paraId="19EB0C58">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70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5A96FF74">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82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060A4DA2">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6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377298A2">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万元/项目</w:t>
            </w:r>
          </w:p>
        </w:tc>
        <w:tc>
          <w:tcPr>
            <w:tcW w:w="780" w:type="dxa"/>
            <w:tcBorders>
              <w:top w:val="nil"/>
              <w:left w:val="nil"/>
              <w:bottom w:val="nil"/>
              <w:right w:val="nil"/>
            </w:tcBorders>
            <w:shd w:val="clear" w:color="FFFFFF" w:themeColor="background1" w:fill="auto"/>
            <w:vAlign w:val="center"/>
          </w:tcPr>
          <w:p w14:paraId="78BB4F66">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15万元/项目</w:t>
            </w:r>
          </w:p>
        </w:tc>
        <w:tc>
          <w:tcPr>
            <w:tcW w:w="720" w:type="dxa"/>
            <w:tcBorders>
              <w:top w:val="nil"/>
              <w:left w:val="nil"/>
              <w:bottom w:val="nil"/>
              <w:right w:val="nil"/>
            </w:tcBorders>
            <w:shd w:val="clear" w:color="FFFFFF" w:themeColor="background1" w:fill="auto"/>
            <w:vAlign w:val="center"/>
          </w:tcPr>
          <w:p w14:paraId="092F91F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91" w:type="dxa"/>
            <w:tcBorders>
              <w:top w:val="nil"/>
              <w:left w:val="nil"/>
              <w:bottom w:val="nil"/>
              <w:right w:val="nil"/>
            </w:tcBorders>
            <w:shd w:val="clear" w:color="FFFFFF" w:themeColor="background1" w:fill="auto"/>
            <w:vAlign w:val="center"/>
          </w:tcPr>
          <w:p w14:paraId="208281D2">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r>
      <w:tr w14:paraId="3FFE8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35" w:type="dxa"/>
            <w:vMerge w:val="continue"/>
            <w:tcBorders>
              <w:top w:val="nil"/>
              <w:left w:val="nil"/>
              <w:bottom w:val="nil"/>
              <w:right w:val="nil"/>
            </w:tcBorders>
            <w:shd w:val="clear" w:color="auto" w:fill="auto"/>
            <w:vAlign w:val="center"/>
          </w:tcPr>
          <w:p w14:paraId="4D1FC380">
            <w:pPr>
              <w:jc w:val="center"/>
              <w:rPr>
                <w:rFonts w:hint="eastAsia" w:ascii="宋体" w:hAnsi="宋体" w:eastAsia="宋体" w:cs="宋体"/>
                <w:b/>
                <w:bCs/>
                <w:i w:val="0"/>
                <w:iCs w:val="0"/>
                <w:color w:val="000000"/>
                <w:sz w:val="22"/>
                <w:szCs w:val="22"/>
                <w:u w:val="none"/>
              </w:rPr>
            </w:pPr>
          </w:p>
        </w:tc>
        <w:tc>
          <w:tcPr>
            <w:tcW w:w="645" w:type="dxa"/>
            <w:vMerge w:val="restart"/>
            <w:tcBorders>
              <w:top w:val="nil"/>
              <w:left w:val="nil"/>
              <w:bottom w:val="nil"/>
              <w:right w:val="nil"/>
            </w:tcBorders>
            <w:shd w:val="clear" w:color="auto" w:fill="auto"/>
            <w:vAlign w:val="center"/>
          </w:tcPr>
          <w:p w14:paraId="52992CC5">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效益指标</w:t>
            </w:r>
          </w:p>
        </w:tc>
        <w:tc>
          <w:tcPr>
            <w:tcW w:w="74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351A3DF7">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社会效益指标</w:t>
            </w:r>
          </w:p>
        </w:tc>
        <w:tc>
          <w:tcPr>
            <w:tcW w:w="12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7A4302A">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农村社区综合服务设施覆盖率</w:t>
            </w:r>
          </w:p>
        </w:tc>
        <w:tc>
          <w:tcPr>
            <w:tcW w:w="122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78E0BA33">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农村社区综合服务设施覆盖率</w:t>
            </w:r>
          </w:p>
        </w:tc>
        <w:tc>
          <w:tcPr>
            <w:tcW w:w="1206" w:type="dxa"/>
            <w:tcBorders>
              <w:top w:val="nil"/>
              <w:left w:val="nil"/>
              <w:bottom w:val="nil"/>
              <w:right w:val="nil"/>
            </w:tcBorders>
            <w:shd w:val="clear" w:color="FFFFFF" w:themeColor="background1" w:fill="auto"/>
            <w:vAlign w:val="center"/>
          </w:tcPr>
          <w:p w14:paraId="0BB7DCAB">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70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1864E609">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82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EED3106">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80</w:t>
            </w:r>
          </w:p>
        </w:tc>
        <w:tc>
          <w:tcPr>
            <w:tcW w:w="6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20D94BA1">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780" w:type="dxa"/>
            <w:tcBorders>
              <w:top w:val="nil"/>
              <w:left w:val="nil"/>
              <w:bottom w:val="nil"/>
              <w:right w:val="nil"/>
            </w:tcBorders>
            <w:shd w:val="clear" w:color="FFFFFF" w:themeColor="background1" w:fill="auto"/>
            <w:vAlign w:val="center"/>
          </w:tcPr>
          <w:p w14:paraId="13BF04F1">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r>
              <w:rPr>
                <w:rFonts w:ascii="宋体" w:hAnsi="宋体" w:eastAsia="宋体" w:cs="宋体"/>
                <w:i w:val="0"/>
                <w:iCs w:val="0"/>
                <w:color w:val="000000"/>
                <w:kern w:val="0"/>
                <w:sz w:val="22"/>
                <w:szCs w:val="22"/>
                <w:u w:val="none"/>
                <w:lang w:val="en-US" w:eastAsia="zh-CN" w:bidi="ar"/>
              </w:rPr>
              <w:t>%</w:t>
            </w:r>
          </w:p>
        </w:tc>
        <w:tc>
          <w:tcPr>
            <w:tcW w:w="720" w:type="dxa"/>
            <w:tcBorders>
              <w:top w:val="nil"/>
              <w:left w:val="nil"/>
              <w:bottom w:val="nil"/>
              <w:right w:val="nil"/>
            </w:tcBorders>
            <w:shd w:val="clear" w:color="FFFFFF" w:themeColor="background1" w:fill="auto"/>
            <w:vAlign w:val="center"/>
          </w:tcPr>
          <w:p w14:paraId="612442F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91" w:type="dxa"/>
            <w:tcBorders>
              <w:top w:val="nil"/>
              <w:left w:val="nil"/>
              <w:bottom w:val="nil"/>
              <w:right w:val="nil"/>
            </w:tcBorders>
            <w:shd w:val="clear" w:color="FFFFFF" w:themeColor="background1" w:fill="auto"/>
            <w:vAlign w:val="center"/>
          </w:tcPr>
          <w:p w14:paraId="18257F7D">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r>
      <w:tr w14:paraId="28CFC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35" w:type="dxa"/>
            <w:vMerge w:val="continue"/>
            <w:tcBorders>
              <w:top w:val="nil"/>
              <w:left w:val="nil"/>
              <w:bottom w:val="nil"/>
              <w:right w:val="nil"/>
            </w:tcBorders>
            <w:shd w:val="clear" w:color="auto" w:fill="auto"/>
            <w:vAlign w:val="center"/>
          </w:tcPr>
          <w:p w14:paraId="742F7AFD">
            <w:pPr>
              <w:jc w:val="center"/>
              <w:rPr>
                <w:rFonts w:hint="eastAsia" w:ascii="宋体" w:hAnsi="宋体" w:eastAsia="宋体" w:cs="宋体"/>
                <w:b/>
                <w:bCs/>
                <w:i w:val="0"/>
                <w:iCs w:val="0"/>
                <w:color w:val="000000"/>
                <w:sz w:val="22"/>
                <w:szCs w:val="22"/>
                <w:u w:val="none"/>
              </w:rPr>
            </w:pPr>
          </w:p>
        </w:tc>
        <w:tc>
          <w:tcPr>
            <w:tcW w:w="645" w:type="dxa"/>
            <w:vMerge w:val="continue"/>
            <w:tcBorders>
              <w:top w:val="nil"/>
              <w:left w:val="nil"/>
              <w:bottom w:val="nil"/>
              <w:right w:val="nil"/>
            </w:tcBorders>
            <w:shd w:val="clear" w:color="auto" w:fill="auto"/>
            <w:vAlign w:val="center"/>
          </w:tcPr>
          <w:p w14:paraId="2E808BA0">
            <w:pPr>
              <w:jc w:val="center"/>
              <w:rPr>
                <w:rFonts w:hint="eastAsia" w:ascii="宋体" w:hAnsi="宋体" w:eastAsia="宋体" w:cs="宋体"/>
                <w:b/>
                <w:bCs/>
                <w:i w:val="0"/>
                <w:iCs w:val="0"/>
                <w:color w:val="000000"/>
                <w:sz w:val="22"/>
                <w:szCs w:val="22"/>
                <w:u w:val="none"/>
              </w:rPr>
            </w:pPr>
          </w:p>
        </w:tc>
        <w:tc>
          <w:tcPr>
            <w:tcW w:w="74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726640E5">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可持续影响指标</w:t>
            </w:r>
          </w:p>
        </w:tc>
        <w:tc>
          <w:tcPr>
            <w:tcW w:w="12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3A05F043">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社区服务设施服务年限</w:t>
            </w:r>
          </w:p>
        </w:tc>
        <w:tc>
          <w:tcPr>
            <w:tcW w:w="122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597A5548">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社区服务设施服务年限</w:t>
            </w:r>
          </w:p>
        </w:tc>
        <w:tc>
          <w:tcPr>
            <w:tcW w:w="1206" w:type="dxa"/>
            <w:tcBorders>
              <w:top w:val="nil"/>
              <w:left w:val="nil"/>
              <w:bottom w:val="nil"/>
              <w:right w:val="nil"/>
            </w:tcBorders>
            <w:shd w:val="clear" w:color="FFFFFF" w:themeColor="background1" w:fill="auto"/>
            <w:vAlign w:val="center"/>
          </w:tcPr>
          <w:p w14:paraId="21D305D4">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70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498A6800">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82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7F34100C">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c>
          <w:tcPr>
            <w:tcW w:w="6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2562132B">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年</w:t>
            </w:r>
          </w:p>
        </w:tc>
        <w:tc>
          <w:tcPr>
            <w:tcW w:w="780" w:type="dxa"/>
            <w:tcBorders>
              <w:top w:val="nil"/>
              <w:left w:val="nil"/>
              <w:bottom w:val="nil"/>
              <w:right w:val="nil"/>
            </w:tcBorders>
            <w:shd w:val="clear" w:color="FFFFFF" w:themeColor="background1" w:fill="auto"/>
            <w:vAlign w:val="center"/>
          </w:tcPr>
          <w:p w14:paraId="2AA6231F">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8年</w:t>
            </w:r>
          </w:p>
        </w:tc>
        <w:tc>
          <w:tcPr>
            <w:tcW w:w="720" w:type="dxa"/>
            <w:tcBorders>
              <w:top w:val="nil"/>
              <w:left w:val="nil"/>
              <w:bottom w:val="nil"/>
              <w:right w:val="nil"/>
            </w:tcBorders>
            <w:shd w:val="clear" w:color="FFFFFF" w:themeColor="background1" w:fill="auto"/>
            <w:vAlign w:val="center"/>
          </w:tcPr>
          <w:p w14:paraId="7C22B11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91" w:type="dxa"/>
            <w:tcBorders>
              <w:top w:val="nil"/>
              <w:left w:val="nil"/>
              <w:bottom w:val="nil"/>
              <w:right w:val="nil"/>
            </w:tcBorders>
            <w:shd w:val="clear" w:color="FFFFFF" w:themeColor="background1" w:fill="auto"/>
            <w:vAlign w:val="center"/>
          </w:tcPr>
          <w:p w14:paraId="79EC2647">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r>
      <w:tr w14:paraId="2A679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35" w:type="dxa"/>
            <w:vMerge w:val="continue"/>
            <w:tcBorders>
              <w:top w:val="nil"/>
              <w:left w:val="nil"/>
              <w:bottom w:val="nil"/>
              <w:right w:val="nil"/>
            </w:tcBorders>
            <w:shd w:val="clear" w:color="auto" w:fill="auto"/>
            <w:vAlign w:val="center"/>
          </w:tcPr>
          <w:p w14:paraId="482F00C6">
            <w:pPr>
              <w:jc w:val="center"/>
              <w:rPr>
                <w:rFonts w:hint="eastAsia" w:ascii="宋体" w:hAnsi="宋体" w:eastAsia="宋体" w:cs="宋体"/>
                <w:b/>
                <w:bCs/>
                <w:i w:val="0"/>
                <w:iCs w:val="0"/>
                <w:color w:val="000000"/>
                <w:sz w:val="22"/>
                <w:szCs w:val="22"/>
                <w:u w:val="none"/>
              </w:rPr>
            </w:pPr>
          </w:p>
        </w:tc>
        <w:tc>
          <w:tcPr>
            <w:tcW w:w="645" w:type="dxa"/>
            <w:tcBorders>
              <w:top w:val="nil"/>
              <w:left w:val="nil"/>
              <w:bottom w:val="nil"/>
              <w:right w:val="nil"/>
            </w:tcBorders>
            <w:shd w:val="clear" w:color="auto" w:fill="auto"/>
            <w:vAlign w:val="center"/>
          </w:tcPr>
          <w:p w14:paraId="5E401D78">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预算执行率</w:t>
            </w:r>
          </w:p>
        </w:tc>
        <w:tc>
          <w:tcPr>
            <w:tcW w:w="74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58096927">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预算执行率</w:t>
            </w:r>
          </w:p>
        </w:tc>
        <w:tc>
          <w:tcPr>
            <w:tcW w:w="12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26FB0766">
            <w:pPr>
              <w:jc w:val="right"/>
              <w:rPr>
                <w:rFonts w:hint="eastAsia" w:ascii="宋体" w:hAnsi="宋体" w:eastAsia="宋体" w:cs="宋体"/>
                <w:i w:val="0"/>
                <w:iCs w:val="0"/>
                <w:color w:val="000000"/>
                <w:sz w:val="22"/>
                <w:szCs w:val="22"/>
                <w:u w:val="none"/>
              </w:rPr>
            </w:pPr>
          </w:p>
        </w:tc>
        <w:tc>
          <w:tcPr>
            <w:tcW w:w="1229"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0304A23">
            <w:pPr>
              <w:jc w:val="right"/>
              <w:rPr>
                <w:rFonts w:hint="eastAsia" w:ascii="宋体" w:hAnsi="宋体" w:eastAsia="宋体" w:cs="宋体"/>
                <w:i w:val="0"/>
                <w:iCs w:val="0"/>
                <w:color w:val="000000"/>
                <w:sz w:val="22"/>
                <w:szCs w:val="22"/>
                <w:u w:val="none"/>
              </w:rPr>
            </w:pPr>
          </w:p>
        </w:tc>
        <w:tc>
          <w:tcPr>
            <w:tcW w:w="1206" w:type="dxa"/>
            <w:tcBorders>
              <w:top w:val="nil"/>
              <w:left w:val="nil"/>
              <w:bottom w:val="nil"/>
              <w:right w:val="nil"/>
            </w:tcBorders>
            <w:shd w:val="clear" w:color="FFFFFF" w:themeColor="background1" w:fill="auto"/>
            <w:vAlign w:val="center"/>
          </w:tcPr>
          <w:p w14:paraId="3994D464">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w:t>
            </w:r>
          </w:p>
        </w:tc>
        <w:tc>
          <w:tcPr>
            <w:tcW w:w="70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40D4A7D">
            <w:pPr>
              <w:jc w:val="right"/>
              <w:rPr>
                <w:rFonts w:hint="eastAsia" w:ascii="宋体" w:hAnsi="宋体" w:eastAsia="宋体" w:cs="宋体"/>
                <w:i w:val="0"/>
                <w:iCs w:val="0"/>
                <w:color w:val="000000"/>
                <w:sz w:val="22"/>
                <w:szCs w:val="22"/>
                <w:u w:val="none"/>
              </w:rPr>
            </w:pPr>
          </w:p>
        </w:tc>
        <w:tc>
          <w:tcPr>
            <w:tcW w:w="825"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462C326">
            <w:pPr>
              <w:jc w:val="right"/>
              <w:rPr>
                <w:rFonts w:hint="eastAsia" w:ascii="宋体" w:hAnsi="宋体" w:eastAsia="宋体" w:cs="宋体"/>
                <w:i w:val="0"/>
                <w:iCs w:val="0"/>
                <w:color w:val="000000"/>
                <w:sz w:val="22"/>
                <w:szCs w:val="22"/>
                <w:u w:val="none"/>
              </w:rPr>
            </w:pPr>
          </w:p>
        </w:tc>
        <w:tc>
          <w:tcPr>
            <w:tcW w:w="63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5113E78">
            <w:pPr>
              <w:jc w:val="right"/>
              <w:rPr>
                <w:rFonts w:hint="eastAsia" w:ascii="宋体" w:hAnsi="宋体" w:eastAsia="宋体" w:cs="宋体"/>
                <w:i w:val="0"/>
                <w:iCs w:val="0"/>
                <w:color w:val="000000"/>
                <w:sz w:val="22"/>
                <w:szCs w:val="22"/>
                <w:u w:val="none"/>
              </w:rPr>
            </w:pPr>
          </w:p>
        </w:tc>
        <w:tc>
          <w:tcPr>
            <w:tcW w:w="78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2BC4059D">
            <w:pPr>
              <w:jc w:val="right"/>
              <w:rPr>
                <w:rFonts w:hint="eastAsia" w:ascii="宋体" w:hAnsi="宋体" w:eastAsia="宋体" w:cs="宋体"/>
                <w:i w:val="0"/>
                <w:iCs w:val="0"/>
                <w:color w:val="000000"/>
                <w:sz w:val="22"/>
                <w:szCs w:val="22"/>
                <w:u w:val="none"/>
              </w:rPr>
            </w:pPr>
          </w:p>
        </w:tc>
        <w:tc>
          <w:tcPr>
            <w:tcW w:w="720" w:type="dxa"/>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37C76003">
            <w:pPr>
              <w:jc w:val="right"/>
              <w:rPr>
                <w:rFonts w:hint="eastAsia" w:ascii="宋体" w:hAnsi="宋体" w:eastAsia="宋体" w:cs="宋体"/>
                <w:i w:val="0"/>
                <w:iCs w:val="0"/>
                <w:color w:val="000000"/>
                <w:sz w:val="22"/>
                <w:szCs w:val="22"/>
                <w:u w:val="none"/>
              </w:rPr>
            </w:pPr>
          </w:p>
        </w:tc>
        <w:tc>
          <w:tcPr>
            <w:tcW w:w="791" w:type="dxa"/>
            <w:tcBorders>
              <w:top w:val="nil"/>
              <w:left w:val="nil"/>
              <w:bottom w:val="nil"/>
              <w:right w:val="nil"/>
            </w:tcBorders>
            <w:shd w:val="clear" w:color="FFFFFF" w:themeColor="background1" w:fill="auto"/>
            <w:vAlign w:val="center"/>
          </w:tcPr>
          <w:p w14:paraId="00A16F07">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w:t>
            </w:r>
          </w:p>
        </w:tc>
      </w:tr>
      <w:tr w14:paraId="0698F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5" w:type="dxa"/>
            <w:vMerge w:val="continue"/>
            <w:tcBorders>
              <w:top w:val="nil"/>
              <w:left w:val="nil"/>
              <w:bottom w:val="nil"/>
              <w:right w:val="nil"/>
            </w:tcBorders>
            <w:shd w:val="clear" w:color="auto" w:fill="auto"/>
            <w:vAlign w:val="center"/>
          </w:tcPr>
          <w:p w14:paraId="2D4A5B76">
            <w:pPr>
              <w:jc w:val="center"/>
              <w:rPr>
                <w:rFonts w:hint="eastAsia" w:ascii="宋体" w:hAnsi="宋体" w:eastAsia="宋体" w:cs="宋体"/>
                <w:b/>
                <w:bCs/>
                <w:i w:val="0"/>
                <w:iCs w:val="0"/>
                <w:color w:val="000000"/>
                <w:sz w:val="22"/>
                <w:szCs w:val="22"/>
                <w:u w:val="none"/>
              </w:rPr>
            </w:pPr>
          </w:p>
        </w:tc>
        <w:tc>
          <w:tcPr>
            <w:tcW w:w="645" w:type="dxa"/>
            <w:tcBorders>
              <w:top w:val="nil"/>
              <w:left w:val="nil"/>
              <w:bottom w:val="nil"/>
              <w:right w:val="nil"/>
            </w:tcBorders>
            <w:shd w:val="clear" w:color="auto" w:fill="auto"/>
            <w:vAlign w:val="center"/>
          </w:tcPr>
          <w:p w14:paraId="366FCBDE">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自评总分</w:t>
            </w:r>
          </w:p>
        </w:tc>
        <w:tc>
          <w:tcPr>
            <w:tcW w:w="8865" w:type="dxa"/>
            <w:gridSpan w:val="10"/>
            <w:tcBorders>
              <w:top w:val="single" w:color="B0C4DE" w:sz="4" w:space="0"/>
              <w:left w:val="single" w:color="B0C4DE" w:sz="4" w:space="0"/>
              <w:bottom w:val="single" w:color="B0C4DE" w:sz="4" w:space="0"/>
              <w:right w:val="single" w:color="B0C4DE" w:sz="4" w:space="0"/>
            </w:tcBorders>
            <w:shd w:val="clear" w:color="FFFFFF" w:themeColor="background1" w:fill="auto"/>
            <w:vAlign w:val="center"/>
          </w:tcPr>
          <w:p w14:paraId="6CB512CC">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100</w:t>
            </w:r>
          </w:p>
        </w:tc>
      </w:tr>
      <w:tr w14:paraId="15419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5" w:type="dxa"/>
            <w:vMerge w:val="restart"/>
            <w:tcBorders>
              <w:top w:val="nil"/>
              <w:left w:val="nil"/>
              <w:bottom w:val="nil"/>
              <w:right w:val="nil"/>
            </w:tcBorders>
            <w:shd w:val="clear" w:color="auto" w:fill="auto"/>
            <w:vAlign w:val="center"/>
          </w:tcPr>
          <w:p w14:paraId="04865FE0">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五、存在问题</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原因及整改措施</w:t>
            </w:r>
          </w:p>
        </w:tc>
        <w:tc>
          <w:tcPr>
            <w:tcW w:w="9510" w:type="dxa"/>
            <w:gridSpan w:val="11"/>
            <w:vMerge w:val="restart"/>
            <w:tcBorders>
              <w:top w:val="nil"/>
              <w:left w:val="nil"/>
              <w:bottom w:val="nil"/>
              <w:right w:val="nil"/>
            </w:tcBorders>
            <w:shd w:val="clear" w:color="auto" w:fill="auto"/>
            <w:vAlign w:val="center"/>
          </w:tcPr>
          <w:p w14:paraId="4D58439A">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无</w:t>
            </w:r>
          </w:p>
        </w:tc>
      </w:tr>
      <w:tr w14:paraId="546A6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5" w:type="dxa"/>
            <w:vMerge w:val="continue"/>
            <w:tcBorders>
              <w:top w:val="nil"/>
              <w:left w:val="nil"/>
              <w:bottom w:val="nil"/>
              <w:right w:val="nil"/>
            </w:tcBorders>
            <w:shd w:val="clear" w:color="auto" w:fill="auto"/>
            <w:vAlign w:val="center"/>
          </w:tcPr>
          <w:p w14:paraId="20599431">
            <w:pPr>
              <w:jc w:val="center"/>
              <w:rPr>
                <w:rFonts w:hint="eastAsia" w:ascii="宋体" w:hAnsi="宋体" w:eastAsia="宋体" w:cs="宋体"/>
                <w:b/>
                <w:bCs/>
                <w:i w:val="0"/>
                <w:iCs w:val="0"/>
                <w:color w:val="000000"/>
                <w:sz w:val="22"/>
                <w:szCs w:val="22"/>
                <w:u w:val="none"/>
              </w:rPr>
            </w:pPr>
          </w:p>
        </w:tc>
        <w:tc>
          <w:tcPr>
            <w:tcW w:w="9510" w:type="dxa"/>
            <w:gridSpan w:val="11"/>
            <w:vMerge w:val="continue"/>
            <w:tcBorders>
              <w:top w:val="nil"/>
              <w:left w:val="nil"/>
              <w:bottom w:val="nil"/>
              <w:right w:val="nil"/>
            </w:tcBorders>
            <w:shd w:val="clear" w:color="auto" w:fill="auto"/>
            <w:vAlign w:val="center"/>
          </w:tcPr>
          <w:p w14:paraId="27947B47">
            <w:pPr>
              <w:jc w:val="left"/>
              <w:rPr>
                <w:rFonts w:hint="eastAsia" w:ascii="宋体" w:hAnsi="宋体" w:eastAsia="宋体" w:cs="宋体"/>
                <w:i w:val="0"/>
                <w:iCs w:val="0"/>
                <w:color w:val="000000"/>
                <w:sz w:val="22"/>
                <w:szCs w:val="22"/>
                <w:u w:val="none"/>
              </w:rPr>
            </w:pPr>
          </w:p>
        </w:tc>
      </w:tr>
    </w:tbl>
    <w:p w14:paraId="2C111B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296BF4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20" w:firstLineChars="200"/>
        <w:jc w:val="left"/>
        <w:textAlignment w:val="auto"/>
        <w:rPr>
          <w:rFonts w:ascii="Times New Roman" w:eastAsia="仿宋_GB2312"/>
          <w:sz w:val="32"/>
          <w:szCs w:val="32"/>
        </w:rPr>
      </w:pPr>
      <w:r>
        <w:rPr>
          <w:rFonts w:ascii="仿宋_GB2312" w:hAnsi="宋体" w:eastAsia="仿宋_GB2312" w:cs="仿宋_GB2312"/>
          <w:b w:val="0"/>
          <w:bCs w:val="0"/>
          <w:color w:val="000000"/>
          <w:sz w:val="31"/>
          <w:szCs w:val="31"/>
        </w:rPr>
        <w:t>本部门本年度没有财政评价项目绩效评价。</w:t>
      </w:r>
    </w:p>
    <w:p w14:paraId="090EA451">
      <w:pPr>
        <w:widowControl/>
        <w:spacing w:before="0" w:beforeLines="0" w:beforeAutospacing="0" w:after="0" w:afterLines="0" w:afterAutospacing="0" w:line="360" w:lineRule="auto"/>
        <w:ind w:firstLine="640" w:firstLineChars="200"/>
        <w:jc w:val="left"/>
        <w:rPr>
          <w:rFonts w:ascii="Times New Roman" w:eastAsia="黑体"/>
          <w:sz w:val="32"/>
          <w:szCs w:val="32"/>
          <w:highlight w:val="none"/>
        </w:rPr>
      </w:pPr>
      <w:r>
        <w:rPr>
          <w:rFonts w:ascii="Times New Roman" w:eastAsia="黑体"/>
          <w:b w:val="0"/>
          <w:sz w:val="32"/>
          <w:szCs w:val="32"/>
          <w:highlight w:val="none"/>
        </w:rPr>
        <w:t>十、其他需要说明的情况</w:t>
      </w:r>
    </w:p>
    <w:p w14:paraId="730CF693">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1.本部门政府性基金预算财政拨款收入支出决算表（公开07表）、国有资本经营预算财政拨款支出决算表（公开08表）、财政拨款“三公”经费支出决算表（公开09表）无相应收支，故空表列示。</w:t>
      </w:r>
    </w:p>
    <w:p w14:paraId="1FFE4B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89770C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994A91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0D0D5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2F4E8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1963EC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8938B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5984979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48880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5E3A1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807A6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1B53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E891D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7DBF5C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77A1B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CF9FC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CAE55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8F107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27CAB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9C8897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3DF2672-BBFC-4A5F-9AE1-0C26DEAB33CF}"/>
  </w:font>
  <w:font w:name="黑体">
    <w:panose1 w:val="02010609060101010101"/>
    <w:charset w:val="86"/>
    <w:family w:val="auto"/>
    <w:pitch w:val="default"/>
    <w:sig w:usb0="800002BF" w:usb1="38CF7CFA" w:usb2="00000016" w:usb3="00000000" w:csb0="00040001" w:csb1="00000000"/>
    <w:embedRegular r:id="rId2" w:fontKey="{5DD752BD-98EB-4233-9DA4-AD93C0F248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C1737B7-D862-45B2-BCBB-7D90A2BCC25D}"/>
  </w:font>
  <w:font w:name="仿宋">
    <w:panose1 w:val="02010609060101010101"/>
    <w:charset w:val="86"/>
    <w:family w:val="modern"/>
    <w:pitch w:val="default"/>
    <w:sig w:usb0="800002BF" w:usb1="38CF7CFA" w:usb2="00000016" w:usb3="00000000" w:csb0="00040001" w:csb1="00000000"/>
    <w:embedRegular r:id="rId4" w:fontKey="{935BCBEB-E825-4BD8-BF41-A068A2B8C961}"/>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5" w:fontKey="{B84D7200-15A4-41D0-A76D-9C90860A296D}"/>
  </w:font>
  <w:font w:name="楷体_GB2312">
    <w:panose1 w:val="02010609030101010101"/>
    <w:charset w:val="86"/>
    <w:family w:val="auto"/>
    <w:pitch w:val="default"/>
    <w:sig w:usb0="00000001" w:usb1="080E0000" w:usb2="00000000" w:usb3="00000000" w:csb0="00040000" w:csb1="00000000"/>
    <w:embedRegular r:id="rId6" w:fontKey="{502FAC3E-3F76-43E7-B236-F6A96AB0EFFA}"/>
  </w:font>
  <w:font w:name="微软雅黑">
    <w:panose1 w:val="020B0503020204020204"/>
    <w:charset w:val="86"/>
    <w:family w:val="auto"/>
    <w:pitch w:val="default"/>
    <w:sig w:usb0="80000287" w:usb1="2ACF3C50" w:usb2="00000016" w:usb3="00000000" w:csb0="0004001F" w:csb1="00000000"/>
    <w:embedRegular r:id="rId7" w:fontKey="{E061208E-07A4-46A1-A224-0B09ABB3CD35}"/>
  </w:font>
  <w:font w:name="方正小标宋_GBK">
    <w:panose1 w:val="02000000000000000000"/>
    <w:charset w:val="86"/>
    <w:family w:val="script"/>
    <w:pitch w:val="default"/>
    <w:sig w:usb0="A00002BF" w:usb1="38CF7CFA" w:usb2="00082016" w:usb3="00000000" w:csb0="00040001" w:csb1="00000000"/>
    <w:embedRegular r:id="rId8" w:fontKey="{692E9394-7D27-458A-94BD-B84AE07F9247}"/>
  </w:font>
  <w:font w:name="仿宋_GB2312">
    <w:panose1 w:val="02010609030101010101"/>
    <w:charset w:val="86"/>
    <w:family w:val="auto"/>
    <w:pitch w:val="default"/>
    <w:sig w:usb0="00000001" w:usb1="080E0000" w:usb2="00000000" w:usb3="00000000" w:csb0="00040000" w:csb1="00000000"/>
    <w:embedRegular r:id="rId9" w:fontKey="{0850AFBC-21DF-4921-AA2A-34978F2FF24C}"/>
  </w:font>
  <w:font w:name="ArialUnicodeMS">
    <w:altName w:val="Malgun Gothic"/>
    <w:panose1 w:val="00000000000000000000"/>
    <w:charset w:val="81"/>
    <w:family w:val="auto"/>
    <w:pitch w:val="default"/>
    <w:sig w:usb0="00000000" w:usb1="00000000" w:usb2="00000010" w:usb3="00000000" w:csb0="00080001" w:csb1="00000000"/>
    <w:embedRegular r:id="rId10" w:fontKey="{BE961203-0EA5-4710-A296-B97DC554A576}"/>
  </w:font>
  <w:font w:name="Malgun Gothic">
    <w:panose1 w:val="020B0503020000020004"/>
    <w:charset w:val="81"/>
    <w:family w:val="auto"/>
    <w:pitch w:val="default"/>
    <w:sig w:usb0="9000002F" w:usb1="29D77CFB" w:usb2="00000012" w:usb3="00000000" w:csb0="0008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C6408">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8F12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43167">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72ACB">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2405B"/>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862691"/>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C90DD1"/>
    <w:rsid w:val="0CEF2A86"/>
    <w:rsid w:val="0D101068"/>
    <w:rsid w:val="0D4E13BE"/>
    <w:rsid w:val="0D7557DF"/>
    <w:rsid w:val="0D853E34"/>
    <w:rsid w:val="0D9C2A57"/>
    <w:rsid w:val="0DC3019B"/>
    <w:rsid w:val="0DE47D04"/>
    <w:rsid w:val="0DFA5D82"/>
    <w:rsid w:val="0E1E52CE"/>
    <w:rsid w:val="0E67086D"/>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B693C"/>
    <w:rsid w:val="115E4926"/>
    <w:rsid w:val="118A1FFA"/>
    <w:rsid w:val="11E35B5A"/>
    <w:rsid w:val="11E42DD6"/>
    <w:rsid w:val="125F5A1B"/>
    <w:rsid w:val="12614612"/>
    <w:rsid w:val="126979D6"/>
    <w:rsid w:val="129E45A7"/>
    <w:rsid w:val="13074404"/>
    <w:rsid w:val="136A5C00"/>
    <w:rsid w:val="13A32976"/>
    <w:rsid w:val="13B97B08"/>
    <w:rsid w:val="13C527AC"/>
    <w:rsid w:val="14711797"/>
    <w:rsid w:val="147B6F17"/>
    <w:rsid w:val="14D42061"/>
    <w:rsid w:val="14FE5F5C"/>
    <w:rsid w:val="15081C8B"/>
    <w:rsid w:val="15090D5C"/>
    <w:rsid w:val="15CC19E2"/>
    <w:rsid w:val="15CF053D"/>
    <w:rsid w:val="15E0131A"/>
    <w:rsid w:val="15E11DC0"/>
    <w:rsid w:val="16457D9F"/>
    <w:rsid w:val="17007AE4"/>
    <w:rsid w:val="17223EFF"/>
    <w:rsid w:val="17AA5F28"/>
    <w:rsid w:val="17B713F6"/>
    <w:rsid w:val="184350A0"/>
    <w:rsid w:val="18935485"/>
    <w:rsid w:val="18A34206"/>
    <w:rsid w:val="18DE3B2C"/>
    <w:rsid w:val="18EF453A"/>
    <w:rsid w:val="1906685D"/>
    <w:rsid w:val="19111683"/>
    <w:rsid w:val="19353916"/>
    <w:rsid w:val="193E101D"/>
    <w:rsid w:val="19BD51C4"/>
    <w:rsid w:val="19C10AF1"/>
    <w:rsid w:val="1A017CDA"/>
    <w:rsid w:val="1A2672DE"/>
    <w:rsid w:val="1AA81D42"/>
    <w:rsid w:val="1AB433D9"/>
    <w:rsid w:val="1AEE2FA0"/>
    <w:rsid w:val="1AF90030"/>
    <w:rsid w:val="1AFB6D70"/>
    <w:rsid w:val="1B1B11EE"/>
    <w:rsid w:val="1B3719E0"/>
    <w:rsid w:val="1B6261C3"/>
    <w:rsid w:val="1B731730"/>
    <w:rsid w:val="1B882BB5"/>
    <w:rsid w:val="1B9B33C7"/>
    <w:rsid w:val="1B9D7FEC"/>
    <w:rsid w:val="1BA01B1B"/>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7A7CCA"/>
    <w:rsid w:val="22835CF3"/>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82AA7"/>
    <w:rsid w:val="25BE7872"/>
    <w:rsid w:val="25BF702A"/>
    <w:rsid w:val="26390459"/>
    <w:rsid w:val="264D2D17"/>
    <w:rsid w:val="26661BB3"/>
    <w:rsid w:val="26773DC1"/>
    <w:rsid w:val="26D50E55"/>
    <w:rsid w:val="271A539C"/>
    <w:rsid w:val="273823FA"/>
    <w:rsid w:val="274972D4"/>
    <w:rsid w:val="27A30781"/>
    <w:rsid w:val="27AA3D97"/>
    <w:rsid w:val="27BD5803"/>
    <w:rsid w:val="280A3758"/>
    <w:rsid w:val="28292E99"/>
    <w:rsid w:val="284E28FF"/>
    <w:rsid w:val="289057C5"/>
    <w:rsid w:val="28A67C7A"/>
    <w:rsid w:val="28EA3248"/>
    <w:rsid w:val="28F72F97"/>
    <w:rsid w:val="28F879DA"/>
    <w:rsid w:val="2918096D"/>
    <w:rsid w:val="294B7731"/>
    <w:rsid w:val="29514455"/>
    <w:rsid w:val="29D21FF2"/>
    <w:rsid w:val="2A4A130F"/>
    <w:rsid w:val="2A611B0F"/>
    <w:rsid w:val="2A6E1037"/>
    <w:rsid w:val="2A816FBC"/>
    <w:rsid w:val="2AC1762B"/>
    <w:rsid w:val="2AE845D0"/>
    <w:rsid w:val="2B074AE8"/>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13E2B"/>
    <w:rsid w:val="2ECB6A5A"/>
    <w:rsid w:val="2EE65418"/>
    <w:rsid w:val="2EFC0112"/>
    <w:rsid w:val="2F0F45A5"/>
    <w:rsid w:val="2F0F6197"/>
    <w:rsid w:val="2F2B730D"/>
    <w:rsid w:val="2F6A001E"/>
    <w:rsid w:val="2F9F3DC1"/>
    <w:rsid w:val="2FC00586"/>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717916"/>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43125"/>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CD1B8C"/>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1C5365"/>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08410A"/>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223A4B"/>
    <w:rsid w:val="4B296B88"/>
    <w:rsid w:val="4B3A6FE7"/>
    <w:rsid w:val="4B96118E"/>
    <w:rsid w:val="4BAE1B66"/>
    <w:rsid w:val="4BBF129A"/>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01F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A05B3E"/>
    <w:rsid w:val="50F1461D"/>
    <w:rsid w:val="50FE5411"/>
    <w:rsid w:val="510B072E"/>
    <w:rsid w:val="511B0BF4"/>
    <w:rsid w:val="51264306"/>
    <w:rsid w:val="514E62C9"/>
    <w:rsid w:val="516123CE"/>
    <w:rsid w:val="51932FAD"/>
    <w:rsid w:val="51B177A9"/>
    <w:rsid w:val="51E066EB"/>
    <w:rsid w:val="52180C87"/>
    <w:rsid w:val="52640E8B"/>
    <w:rsid w:val="5267570A"/>
    <w:rsid w:val="52707792"/>
    <w:rsid w:val="52734B8D"/>
    <w:rsid w:val="528D02F2"/>
    <w:rsid w:val="52A12CDC"/>
    <w:rsid w:val="52DF0C92"/>
    <w:rsid w:val="52E1159C"/>
    <w:rsid w:val="52E34D6A"/>
    <w:rsid w:val="530C1269"/>
    <w:rsid w:val="531E524E"/>
    <w:rsid w:val="533E33EC"/>
    <w:rsid w:val="534072EB"/>
    <w:rsid w:val="537648BE"/>
    <w:rsid w:val="538E2D0B"/>
    <w:rsid w:val="53922782"/>
    <w:rsid w:val="539C1424"/>
    <w:rsid w:val="53A639C0"/>
    <w:rsid w:val="53F00A24"/>
    <w:rsid w:val="53F63DBA"/>
    <w:rsid w:val="53FF492A"/>
    <w:rsid w:val="540E7A30"/>
    <w:rsid w:val="54261D4F"/>
    <w:rsid w:val="54370568"/>
    <w:rsid w:val="54435FC3"/>
    <w:rsid w:val="5448624E"/>
    <w:rsid w:val="54492049"/>
    <w:rsid w:val="546E2B1A"/>
    <w:rsid w:val="5482555F"/>
    <w:rsid w:val="54907C78"/>
    <w:rsid w:val="54A31DD8"/>
    <w:rsid w:val="54AA6F8B"/>
    <w:rsid w:val="54D26583"/>
    <w:rsid w:val="55363E67"/>
    <w:rsid w:val="556E6DF7"/>
    <w:rsid w:val="55935D44"/>
    <w:rsid w:val="55965CE3"/>
    <w:rsid w:val="559D47CE"/>
    <w:rsid w:val="55BE1959"/>
    <w:rsid w:val="56232437"/>
    <w:rsid w:val="56541A75"/>
    <w:rsid w:val="56755377"/>
    <w:rsid w:val="568832FC"/>
    <w:rsid w:val="568C4181"/>
    <w:rsid w:val="56FC15F5"/>
    <w:rsid w:val="570725A9"/>
    <w:rsid w:val="5714693E"/>
    <w:rsid w:val="571D0C9C"/>
    <w:rsid w:val="573A16CE"/>
    <w:rsid w:val="57482A8C"/>
    <w:rsid w:val="578D049F"/>
    <w:rsid w:val="579C7F80"/>
    <w:rsid w:val="57B30D7C"/>
    <w:rsid w:val="57EA63E9"/>
    <w:rsid w:val="58166B03"/>
    <w:rsid w:val="583E3C94"/>
    <w:rsid w:val="586A2950"/>
    <w:rsid w:val="58721734"/>
    <w:rsid w:val="588210B0"/>
    <w:rsid w:val="58900246"/>
    <w:rsid w:val="58977358"/>
    <w:rsid w:val="58AD185C"/>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1D72AF"/>
    <w:rsid w:val="5B1E422F"/>
    <w:rsid w:val="5B2507CA"/>
    <w:rsid w:val="5B2A474A"/>
    <w:rsid w:val="5B2D237E"/>
    <w:rsid w:val="5B4B0ABD"/>
    <w:rsid w:val="5B612747"/>
    <w:rsid w:val="5B830730"/>
    <w:rsid w:val="5BBB2DD6"/>
    <w:rsid w:val="5BD6009C"/>
    <w:rsid w:val="5BE263B6"/>
    <w:rsid w:val="5C621EFA"/>
    <w:rsid w:val="5C8E5C5A"/>
    <w:rsid w:val="5C965E61"/>
    <w:rsid w:val="5CD839BA"/>
    <w:rsid w:val="5CF0089C"/>
    <w:rsid w:val="5CF5796F"/>
    <w:rsid w:val="5D242A11"/>
    <w:rsid w:val="5D3C274B"/>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5FE53C56"/>
    <w:rsid w:val="604F6C39"/>
    <w:rsid w:val="60806DF2"/>
    <w:rsid w:val="61072DA5"/>
    <w:rsid w:val="611C0817"/>
    <w:rsid w:val="61224A52"/>
    <w:rsid w:val="6126799A"/>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50D50"/>
    <w:rsid w:val="64372F20"/>
    <w:rsid w:val="648944D0"/>
    <w:rsid w:val="64DC72D7"/>
    <w:rsid w:val="64FA42B4"/>
    <w:rsid w:val="653619A6"/>
    <w:rsid w:val="65610A02"/>
    <w:rsid w:val="657C5D53"/>
    <w:rsid w:val="658C0E37"/>
    <w:rsid w:val="65A11EA3"/>
    <w:rsid w:val="65A8143D"/>
    <w:rsid w:val="65AC3D66"/>
    <w:rsid w:val="65BB5334"/>
    <w:rsid w:val="66322EDB"/>
    <w:rsid w:val="663E1DBA"/>
    <w:rsid w:val="665D0213"/>
    <w:rsid w:val="668506C7"/>
    <w:rsid w:val="669E59F1"/>
    <w:rsid w:val="66A2024B"/>
    <w:rsid w:val="66CB5E2D"/>
    <w:rsid w:val="6704732B"/>
    <w:rsid w:val="670F6731"/>
    <w:rsid w:val="67585CB0"/>
    <w:rsid w:val="67675742"/>
    <w:rsid w:val="67770F0C"/>
    <w:rsid w:val="679E649A"/>
    <w:rsid w:val="67B03535"/>
    <w:rsid w:val="680E2F36"/>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359B4"/>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804BB"/>
    <w:rsid w:val="721A7983"/>
    <w:rsid w:val="721F6113"/>
    <w:rsid w:val="7233782C"/>
    <w:rsid w:val="725400DF"/>
    <w:rsid w:val="726A729D"/>
    <w:rsid w:val="73177841"/>
    <w:rsid w:val="733774FE"/>
    <w:rsid w:val="735231C7"/>
    <w:rsid w:val="73617E1B"/>
    <w:rsid w:val="736D7653"/>
    <w:rsid w:val="738035CB"/>
    <w:rsid w:val="73852C46"/>
    <w:rsid w:val="7396335C"/>
    <w:rsid w:val="73B00CA9"/>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7FB1146"/>
    <w:rsid w:val="78220386"/>
    <w:rsid w:val="784B5AE0"/>
    <w:rsid w:val="7883171E"/>
    <w:rsid w:val="78A27DF6"/>
    <w:rsid w:val="7916020E"/>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EF50554"/>
    <w:rsid w:val="7F2914C3"/>
    <w:rsid w:val="7F5F2ED6"/>
    <w:rsid w:val="7F6824D4"/>
    <w:rsid w:val="7FA837EF"/>
    <w:rsid w:val="7FC36955"/>
    <w:rsid w:val="7FE16C07"/>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217.2</c:v>
                </c:pt>
                <c:pt idx="1">
                  <c:v>37.31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2172011.38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1287600.58</c:v>
                </c:pt>
                <c:pt idx="1">
                  <c:v>884410.8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37.31</c:v>
                </c:pt>
                <c:pt idx="1">
                  <c:v>37.31</c:v>
                </c:pt>
                <c:pt idx="2">
                  <c:v>37.31</c:v>
                </c:pt>
                <c:pt idx="3">
                  <c:v>37.31</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217.2</c:v>
                </c:pt>
                <c:pt idx="1">
                  <c:v>217.2</c:v>
                </c:pt>
                <c:pt idx="2">
                  <c:v>217.2</c:v>
                </c:pt>
                <c:pt idx="3">
                  <c:v>217.2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161.91</c:v>
                </c:pt>
                <c:pt idx="1">
                  <c:v>161.91</c:v>
                </c:pt>
                <c:pt idx="2">
                  <c:v>161.91</c:v>
                </c:pt>
                <c:pt idx="3">
                  <c:v>161.91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217.2</c:v>
                </c:pt>
                <c:pt idx="1">
                  <c:v>217.2</c:v>
                </c:pt>
                <c:pt idx="2">
                  <c:v>217.2</c:v>
                </c:pt>
                <c:pt idx="3">
                  <c:v>217.2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3028</Words>
  <Characters>4158</Characters>
  <Lines>86</Lines>
  <Paragraphs>24</Paragraphs>
  <TotalTime>69</TotalTime>
  <ScaleCrop>false</ScaleCrop>
  <LinksUpToDate>false</LinksUpToDate>
  <CharactersWithSpaces>4568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AT</cp:lastModifiedBy>
  <cp:lastPrinted>2023-08-04T01:00:00Z</cp:lastPrinted>
  <dcterms:modified xsi:type="dcterms:W3CDTF">2026-10-14T08:47:14Z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461F38B960C04CD397A6E71C5503E2D8_13</vt:lpwstr>
  </property>
  <property fmtid="{D5CDD505-2E9C-101B-9397-08002B2CF9AE}" pid="4" name="KSOTemplateUUID">
    <vt:lpwstr>v1.0_mb_S7ajbG3IpAnL1wSthNCxfw==</vt:lpwstr>
  </property>
  <property fmtid="{D5CDD505-2E9C-101B-9397-08002B2CF9AE}" pid="5" name="KSOTemplateDocerSaveRecord">
    <vt:lpwstr>eyJoZGlkIjoiNjkyZTVjMzQwZjA0NTViZGRiYWM3MjMzOGY4OWNlMGMiLCJ1c2VySWQiOiIxMDY4MzE1NTg4In0=</vt:lpwstr>
  </property>
</Properties>
</file>