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after="312" w:afterLines="100" w:line="3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pStyle w:val="12"/>
      </w:pP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高阳县住房和城乡建设局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高阳县人民防空办公室</w:t>
      </w:r>
    </w:p>
    <w:p>
      <w:pPr>
        <w:pStyle w:val="5"/>
        <w:spacing w:before="0" w:beforeAutospacing="0" w:after="0" w:afterAutospacing="0" w:line="0" w:lineRule="atLeast"/>
        <w:ind w:firstLine="883" w:firstLineChars="200"/>
        <w:jc w:val="both"/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保定市生态环境局高阳县分局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</w:rPr>
      </w:pP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eastAsia="zh-CN"/>
        </w:rPr>
        <w:t>关于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</w:rPr>
        <w:t>开展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eastAsia="zh-CN"/>
        </w:rPr>
        <w:t>县域内在建施工项目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</w:rPr>
        <w:t>“双随机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eastAsia="zh-CN"/>
        </w:rPr>
        <w:t>、一公开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</w:rPr>
        <w:t>”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  <w:lang w:eastAsia="zh-CN"/>
        </w:rPr>
        <w:t>跨部门</w:t>
      </w:r>
      <w:r>
        <w:rPr>
          <w:rStyle w:val="6"/>
          <w:rFonts w:hint="eastAsia" w:ascii="方正小标宋简体" w:eastAsia="方正小标宋简体"/>
          <w:b/>
          <w:bCs/>
          <w:sz w:val="44"/>
          <w:szCs w:val="44"/>
        </w:rPr>
        <w:t>联合抽查监管工作的通知</w:t>
      </w: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各相关单位：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为认真贯彻落实《202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年度双随机抽查工作计划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 w:bidi="ar"/>
        </w:rPr>
        <w:t>的通知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 w:bidi="ar"/>
        </w:rPr>
        <w:t>等相关文件精神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，进一步推进“双随机、一公开”监管工作持续、广泛、深入地开展，结合工作实际，决定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6月3日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起开展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 w:bidi="ar"/>
        </w:rPr>
        <w:t>县域内在建施工项目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“双随机、一公开”跨部门联合抽查工作，请依据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bidi="ar"/>
        </w:rPr>
        <w:t>《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关于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开展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县域内在建施工项目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“双随机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、一公开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跨部门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联合抽查监管工作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实施方案》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  <w:t>开展工作。</w:t>
      </w: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联系电话：高阳县住房和城乡建设局  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6620320</w:t>
      </w:r>
    </w:p>
    <w:p>
      <w:pPr>
        <w:widowControl/>
        <w:shd w:val="clear" w:color="auto" w:fill="FFFFFF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高阳县人民防空办公室    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6600316</w:t>
      </w:r>
    </w:p>
    <w:p>
      <w:pPr>
        <w:widowControl/>
        <w:shd w:val="clear" w:color="auto" w:fill="FFFFFF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保定市生态环境局高阳县分局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6623875</w:t>
      </w:r>
    </w:p>
    <w:p>
      <w:pPr>
        <w:widowControl/>
        <w:shd w:val="clear" w:color="auto" w:fill="FFFFFF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高阳县住房和城乡建设局  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高阳县人民防空办公室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pStyle w:val="5"/>
        <w:spacing w:beforeAutospacing="0" w:afterAutospacing="0"/>
        <w:ind w:left="5120" w:hanging="5120" w:hangingChars="16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5"/>
        <w:spacing w:beforeAutospacing="0" w:afterAutospacing="0"/>
        <w:ind w:left="5120" w:hanging="5120" w:hangingChars="16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</w:pPr>
    </w:p>
    <w:p>
      <w:pPr>
        <w:pStyle w:val="5"/>
        <w:spacing w:beforeAutospacing="0" w:afterAutospacing="0"/>
        <w:ind w:left="5120" w:hanging="5120" w:hangingChars="1600"/>
        <w:rPr>
          <w:rStyle w:val="6"/>
          <w:rFonts w:hint="eastAsia" w:ascii="仿宋_GB2312" w:hAnsi="楷体" w:eastAsia="仿宋_GB2312" w:cs="楷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保定市生态环境局高阳县分局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</w:t>
      </w:r>
    </w:p>
    <w:p>
      <w:pPr>
        <w:pStyle w:val="5"/>
        <w:spacing w:beforeAutospacing="0" w:afterAutospacing="0"/>
        <w:ind w:firstLine="800" w:firstLineChars="25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    </w:t>
      </w: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       </w:t>
      </w:r>
    </w:p>
    <w:p>
      <w:pPr>
        <w:pStyle w:val="5"/>
        <w:spacing w:before="0" w:beforeAutospacing="0" w:after="0" w:afterAutospacing="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附件：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县域内在建施工项目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“双随机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、一公开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跨部门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联合抽查监管工作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实施方案</w:t>
      </w: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Autospacing="0" w:afterAutospacing="0"/>
        <w:ind w:firstLine="5440" w:firstLineChars="170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日</w:t>
      </w: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</w:pPr>
      <w:r>
        <w:rPr>
          <w:rStyle w:val="6"/>
          <w:b/>
          <w:bCs/>
          <w:sz w:val="32"/>
          <w:szCs w:val="32"/>
        </w:rPr>
        <w:t>附件</w:t>
      </w:r>
      <w:r>
        <w:t xml:space="preserve"> </w:t>
      </w:r>
    </w:p>
    <w:p>
      <w:pPr>
        <w:pStyle w:val="5"/>
        <w:spacing w:before="0" w:beforeAutospacing="0" w:after="0" w:afterAutospacing="0"/>
        <w:jc w:val="center"/>
        <w:rPr>
          <w:rStyle w:val="7"/>
          <w:sz w:val="44"/>
          <w:szCs w:val="44"/>
        </w:rPr>
      </w:pPr>
    </w:p>
    <w:p>
      <w:pPr>
        <w:pStyle w:val="5"/>
        <w:spacing w:before="0" w:beforeAutospacing="0" w:after="0" w:afterAutospacing="0" w:line="0" w:lineRule="atLeast"/>
        <w:jc w:val="center"/>
        <w:rPr>
          <w:rFonts w:hint="eastAsia" w:ascii="方正小标宋简体" w:eastAsia="方正小标宋简体"/>
        </w:rPr>
      </w:pPr>
    </w:p>
    <w:p>
      <w:pPr>
        <w:pStyle w:val="5"/>
        <w:spacing w:before="0" w:beforeAutospacing="0" w:after="0" w:afterAutospacing="0"/>
        <w:jc w:val="center"/>
        <w:rPr>
          <w:rStyle w:val="6"/>
          <w:rFonts w:hint="eastAsia" w:ascii="方正小标宋简体" w:eastAsia="方正小标宋简体"/>
          <w:b/>
          <w:bCs/>
          <w:sz w:val="32"/>
          <w:szCs w:val="32"/>
          <w:lang w:eastAsia="zh-CN"/>
        </w:rPr>
      </w:pPr>
      <w:r>
        <w:rPr>
          <w:rStyle w:val="6"/>
          <w:rFonts w:hint="eastAsia" w:ascii="方正小标宋简体" w:eastAsia="方正小标宋简体"/>
          <w:b/>
          <w:bCs/>
          <w:sz w:val="32"/>
          <w:szCs w:val="32"/>
          <w:lang w:eastAsia="zh-CN"/>
        </w:rPr>
        <w:t>关于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开展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  <w:lang w:eastAsia="zh-CN"/>
        </w:rPr>
        <w:t>县域内在建施工项目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“双随机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  <w:lang w:eastAsia="zh-CN"/>
        </w:rPr>
        <w:t>、一公开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”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  <w:lang w:eastAsia="zh-CN"/>
        </w:rPr>
        <w:t>跨部门</w:t>
      </w:r>
    </w:p>
    <w:p>
      <w:pPr>
        <w:pStyle w:val="5"/>
        <w:spacing w:before="0" w:beforeAutospacing="0" w:after="0" w:afterAutospacing="0"/>
        <w:jc w:val="center"/>
        <w:rPr>
          <w:rStyle w:val="6"/>
          <w:b/>
          <w:bCs/>
          <w:sz w:val="32"/>
          <w:szCs w:val="32"/>
        </w:rPr>
      </w:pP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联合抽查监管工作</w:t>
      </w:r>
      <w:r>
        <w:rPr>
          <w:rStyle w:val="6"/>
          <w:rFonts w:hint="eastAsia" w:ascii="方正小标宋简体" w:eastAsia="方正小标宋简体"/>
          <w:b/>
          <w:bCs/>
          <w:sz w:val="32"/>
          <w:szCs w:val="32"/>
          <w:lang w:eastAsia="zh-CN"/>
        </w:rPr>
        <w:t>实施方案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hint="eastAsia"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为认真贯彻落实《202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年度双随机抽查工作计划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的通知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等相关文件精神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，进一步推进“双随机、一公开”监管工作持续、广泛、深入地开展，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提升“双随机、一公开”监管效能</w:t>
      </w:r>
      <w:r>
        <w:rPr>
          <w:rStyle w:val="6"/>
          <w:rFonts w:hint="eastAsia" w:ascii="仿宋_GB2312" w:eastAsia="仿宋_GB2312"/>
          <w:sz w:val="32"/>
          <w:szCs w:val="32"/>
        </w:rPr>
        <w:t>，特制定方案如下：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一、时间安排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202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Style w:val="6"/>
          <w:rFonts w:hint="eastAsia" w:ascii="仿宋_GB2312" w:eastAsia="仿宋_GB2312"/>
          <w:sz w:val="32"/>
          <w:szCs w:val="32"/>
        </w:rPr>
        <w:t>年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_GB2312" w:eastAsia="仿宋_GB2312"/>
          <w:sz w:val="32"/>
          <w:szCs w:val="32"/>
        </w:rPr>
        <w:t>月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eastAsia="仿宋_GB2312"/>
          <w:sz w:val="32"/>
          <w:szCs w:val="32"/>
        </w:rPr>
        <w:t>日至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_GB2312" w:eastAsia="仿宋_GB2312"/>
          <w:sz w:val="32"/>
          <w:szCs w:val="32"/>
        </w:rPr>
        <w:t>月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Style w:val="6"/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二、随机抽查对象及比例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高阳县域内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2024年4月30日前办理施工许可证的在建项目，抽查数量5个。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9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三、抽查部门及内容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480" w:firstLineChars="15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（一）高阳县住房和城乡建设局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检查内容：住房城乡建设行业各类企业资质许可后监督检查；住房城乡建设领域人员资格许可后监督检查；建筑市场监督检查；工程建设标准监督检查；建筑</w:t>
      </w:r>
      <w:bookmarkStart w:id="0" w:name="_GoBack"/>
      <w:bookmarkEnd w:id="0"/>
      <w:r>
        <w:rPr>
          <w:rStyle w:val="6"/>
          <w:rFonts w:hint="eastAsia" w:ascii="仿宋_GB2312" w:eastAsia="仿宋_GB2312"/>
          <w:sz w:val="32"/>
          <w:szCs w:val="32"/>
        </w:rPr>
        <w:t>市场行政监督管理行为的监督检查；民用建筑节能监督检查；建筑工程材料设备使用监督检查；建设工程安全生产监督检查；绿色建筑、装配式建筑活动的指导和监督检查；市政设施建设类审批（挖掘道路）。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</w:t>
      </w:r>
      <w:r>
        <w:rPr>
          <w:rStyle w:val="10"/>
          <w:rFonts w:hint="eastAsia" w:ascii="楷体" w:hAnsi="楷体" w:eastAsia="楷体"/>
          <w:sz w:val="32"/>
          <w:szCs w:val="32"/>
          <w:lang w:eastAsia="zh-CN"/>
        </w:rPr>
        <w:t>二</w:t>
      </w:r>
      <w:r>
        <w:rPr>
          <w:rStyle w:val="10"/>
          <w:rFonts w:hint="eastAsia" w:ascii="楷体" w:hAnsi="楷体" w:eastAsia="楷体"/>
          <w:sz w:val="32"/>
          <w:szCs w:val="32"/>
        </w:rPr>
        <w:t>）高阳县人民防空办公室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检查内容：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对人防工程设计单位的检查；对人民防空工程建设的检查；对人防工程监理单位的检查。</w:t>
      </w:r>
    </w:p>
    <w:p>
      <w:pPr>
        <w:pStyle w:val="5"/>
        <w:spacing w:before="0" w:beforeAutospacing="0" w:after="0" w:afterAutospacing="0"/>
        <w:ind w:firstLine="480" w:firstLineChars="15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Style w:val="10"/>
          <w:rFonts w:hint="eastAsia" w:ascii="楷体" w:hAnsi="楷体" w:eastAsia="楷体" w:cs="楷体"/>
          <w:sz w:val="32"/>
          <w:szCs w:val="32"/>
        </w:rPr>
        <w:t>（</w:t>
      </w:r>
      <w:r>
        <w:rPr>
          <w:rStyle w:val="10"/>
          <w:rFonts w:hint="eastAsia" w:ascii="楷体" w:hAnsi="楷体" w:eastAsia="楷体" w:cs="楷体"/>
          <w:sz w:val="32"/>
          <w:szCs w:val="32"/>
          <w:lang w:eastAsia="zh-CN"/>
        </w:rPr>
        <w:t>三）市生态环境局高阳县分局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对建设项目（含海岸工程建设项目）、排放污染物的企业事业单位和其他生产经营者的检查。</w:t>
      </w:r>
    </w:p>
    <w:p>
      <w:pPr>
        <w:pStyle w:val="9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抽查工作流程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（一）由高阳县住房和城乡建设局通过“河北省双随机执法监管平台”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系统随机抽取本次抽查市场主体</w:t>
      </w:r>
      <w:r>
        <w:rPr>
          <w:rStyle w:val="6"/>
          <w:rFonts w:hint="eastAsia" w:ascii="仿宋_GB2312" w:eastAsia="仿宋_GB2312"/>
          <w:sz w:val="32"/>
          <w:szCs w:val="32"/>
        </w:rPr>
        <w:t>名单，由“河北省双随机执法监管平台”自动派发到相关单位，由相关部门系统管理员在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Style w:val="6"/>
          <w:rFonts w:hint="eastAsia" w:ascii="仿宋_GB2312" w:eastAsia="仿宋_GB2312"/>
          <w:sz w:val="32"/>
          <w:szCs w:val="32"/>
        </w:rPr>
        <w:t>个工作日内完成比对和确认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，属于本部门监管清单范围内的确认检查，不属于本部门监管清单范围内的确认不检查</w:t>
      </w:r>
      <w:r>
        <w:rPr>
          <w:rStyle w:val="6"/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（二）各相关配合部门通过“河北省双随机执法监管平台”从执法人员名录库中随机抽取执法人员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，以随机匹配的方式协调配合此次双随机</w:t>
      </w:r>
      <w:r>
        <w:rPr>
          <w:rStyle w:val="6"/>
          <w:rFonts w:hint="eastAsia" w:ascii="仿宋_GB2312" w:eastAsia="仿宋_GB2312"/>
          <w:sz w:val="32"/>
          <w:szCs w:val="32"/>
        </w:rPr>
        <w:t>检查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Style w:val="6"/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（三）被检查对象和检查人员确定后，由“河北省双随机执法监管平台”随机匹配，并派发到执法抽查人员，由具体抽查执法人员实施检查，并录入检查结果。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</w:t>
      </w:r>
      <w:r>
        <w:rPr>
          <w:rStyle w:val="10"/>
          <w:rFonts w:hint="eastAsia" w:ascii="楷体" w:hAnsi="楷体" w:eastAsia="楷体"/>
          <w:sz w:val="32"/>
          <w:szCs w:val="32"/>
          <w:lang w:eastAsia="zh-CN"/>
        </w:rPr>
        <w:t>四</w:t>
      </w:r>
      <w:r>
        <w:rPr>
          <w:rStyle w:val="10"/>
          <w:rFonts w:hint="eastAsia" w:ascii="楷体" w:hAnsi="楷体" w:eastAsia="楷体"/>
          <w:sz w:val="32"/>
          <w:szCs w:val="32"/>
        </w:rPr>
        <w:t>）检查方式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、对企业进行实地核查时，各单位须着本单位执法服装且执法人员不得少于2人，应当出示行政执法证件后，进行检查。检查人员应当填写检查信息，并由被检查企业法定代表人签字确认；被检查对象拒绝签字的应当在检查结果中如实记录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3、对企业实施联合抽查时，住建局要充分发挥牵头部门作用，统筹安排核查工作，加强部门协调配合，联合抽查单位一次性完成抽查任务。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</w:t>
      </w:r>
      <w:r>
        <w:rPr>
          <w:rStyle w:val="10"/>
          <w:rFonts w:hint="eastAsia" w:ascii="楷体" w:hAnsi="楷体" w:eastAsia="楷体"/>
          <w:sz w:val="32"/>
          <w:szCs w:val="32"/>
          <w:lang w:eastAsia="zh-CN"/>
        </w:rPr>
        <w:t>五</w:t>
      </w:r>
      <w:r>
        <w:rPr>
          <w:rStyle w:val="10"/>
          <w:rFonts w:hint="eastAsia" w:ascii="楷体" w:hAnsi="楷体" w:eastAsia="楷体"/>
          <w:sz w:val="32"/>
          <w:szCs w:val="32"/>
        </w:rPr>
        <w:t>）抽查结果公示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Style w:val="8"/>
          <w:rFonts w:hint="eastAsia" w:ascii="黑体" w:hAnsi="黑体" w:eastAsia="黑体"/>
          <w:sz w:val="32"/>
          <w:szCs w:val="32"/>
        </w:rPr>
        <w:t>、工作要求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（一）加强组织领导。</w:t>
      </w:r>
      <w:r>
        <w:rPr>
          <w:rStyle w:val="6"/>
          <w:rFonts w:hint="eastAsia" w:ascii="仿宋_GB2312" w:eastAsia="仿宋_GB2312"/>
          <w:sz w:val="32"/>
          <w:szCs w:val="32"/>
        </w:rPr>
        <w:t>各抽查部门要高度重视跨部门“双随机”联合抽查工作，抓好落实，加强宣传，精心组织，按时完成抽查任务。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（二）加强监管服务。</w:t>
      </w:r>
      <w:r>
        <w:rPr>
          <w:rStyle w:val="6"/>
          <w:rFonts w:hint="eastAsia" w:ascii="仿宋_GB2312" w:eastAsia="仿宋_GB2312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（三）加强信用监管。</w:t>
      </w:r>
      <w:r>
        <w:rPr>
          <w:rStyle w:val="6"/>
          <w:rFonts w:hint="eastAsia" w:ascii="仿宋_GB2312" w:eastAsia="仿宋_GB2312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（四）加强信息反馈。</w:t>
      </w:r>
      <w:r>
        <w:rPr>
          <w:rStyle w:val="6"/>
          <w:rFonts w:hint="eastAsia" w:ascii="仿宋_GB2312" w:eastAsia="仿宋_GB2312"/>
          <w:sz w:val="32"/>
          <w:szCs w:val="32"/>
        </w:rPr>
        <w:t>各相关联合抽查单位，要以此次联合抽查工作为契机，找出监管工作漏洞并实施后续监管，杜绝监管盲区。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001F5417"/>
    <w:rsid w:val="001F5417"/>
    <w:rsid w:val="00266E60"/>
    <w:rsid w:val="00280B22"/>
    <w:rsid w:val="00EB3460"/>
    <w:rsid w:val="00F32869"/>
    <w:rsid w:val="00FF3A41"/>
    <w:rsid w:val="08FC344B"/>
    <w:rsid w:val="1A3049D4"/>
    <w:rsid w:val="1B705A2E"/>
    <w:rsid w:val="25147683"/>
    <w:rsid w:val="281A696A"/>
    <w:rsid w:val="29D05961"/>
    <w:rsid w:val="2F011C92"/>
    <w:rsid w:val="38D358F7"/>
    <w:rsid w:val="42214E8F"/>
    <w:rsid w:val="42416731"/>
    <w:rsid w:val="45C21DD1"/>
    <w:rsid w:val="54AA0D3A"/>
    <w:rsid w:val="56E82E39"/>
    <w:rsid w:val="578C4AC1"/>
    <w:rsid w:val="5C1761FC"/>
    <w:rsid w:val="602831EA"/>
    <w:rsid w:val="62136961"/>
    <w:rsid w:val="63B9726B"/>
    <w:rsid w:val="6FB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qowt-font9"/>
    <w:basedOn w:val="4"/>
    <w:qFormat/>
    <w:uiPriority w:val="0"/>
  </w:style>
  <w:style w:type="character" w:customStyle="1" w:styleId="7">
    <w:name w:val="qowt-font10"/>
    <w:basedOn w:val="4"/>
    <w:qFormat/>
    <w:uiPriority w:val="0"/>
  </w:style>
  <w:style w:type="character" w:customStyle="1" w:styleId="8">
    <w:name w:val="qowt-font5"/>
    <w:basedOn w:val="4"/>
    <w:qFormat/>
    <w:uiPriority w:val="0"/>
  </w:style>
  <w:style w:type="paragraph" w:customStyle="1" w:styleId="9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qowt-font11"/>
    <w:basedOn w:val="4"/>
    <w:qFormat/>
    <w:uiPriority w:val="0"/>
  </w:style>
  <w:style w:type="character" w:customStyle="1" w:styleId="11">
    <w:name w:val="qowt-font2"/>
    <w:basedOn w:val="4"/>
    <w:qFormat/>
    <w:uiPriority w:val="0"/>
  </w:style>
  <w:style w:type="paragraph" w:customStyle="1" w:styleId="12">
    <w:name w:val="BodyText1I2"/>
    <w:basedOn w:val="1"/>
    <w:qFormat/>
    <w:uiPriority w:val="0"/>
    <w:pPr>
      <w:suppressAutoHyphens/>
      <w:spacing w:after="120"/>
      <w:ind w:left="420" w:leftChars="200" w:firstLine="420" w:firstLineChars="200"/>
      <w:textAlignment w:val="baseline"/>
    </w:pPr>
    <w:rPr>
      <w:rFonts w:ascii="仿宋" w:hAnsi="仿宋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1997</Words>
  <Characters>2044</Characters>
  <Lines>18</Lines>
  <Paragraphs>5</Paragraphs>
  <TotalTime>27</TotalTime>
  <ScaleCrop>false</ScaleCrop>
  <LinksUpToDate>false</LinksUpToDate>
  <CharactersWithSpaces>2119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2023-08-22T01:46:00Z</dcterms:created>
  <dc:creator>Administrator</dc:creator>
  <cp:lastModifiedBy>Administratorgy0312</cp:lastModifiedBy>
  <dcterms:modified xsi:type="dcterms:W3CDTF">2025-02-12T09:53:01Z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7DDA6F4CDBC044BFB0971A2D0681F138_13</vt:lpwstr>
  </property>
</Properties>
</file>