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20" w:lineRule="exact"/>
        <w:jc w:val="center"/>
        <w:rPr>
          <w:rFonts w:ascii="仿宋" w:hAnsi="仿宋" w:eastAsia="仿宋"/>
          <w:szCs w:val="32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>高阳县住房和城乡建设局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高  阳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县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气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>象  局</w:t>
      </w:r>
    </w:p>
    <w:p>
      <w:pPr>
        <w:spacing w:after="312" w:afterLines="100" w:line="320" w:lineRule="exact"/>
        <w:jc w:val="center"/>
        <w:rPr>
          <w:rFonts w:ascii="仿宋" w:hAnsi="仿宋" w:eastAsia="仿宋"/>
          <w:szCs w:val="32"/>
        </w:rPr>
      </w:pPr>
    </w:p>
    <w:p>
      <w:pPr>
        <w:pStyle w:val="2"/>
      </w:pPr>
    </w:p>
    <w:p/>
    <w:p>
      <w:pPr>
        <w:spacing w:line="0" w:lineRule="atLeast"/>
      </w:pPr>
    </w:p>
    <w:p>
      <w:pPr>
        <w:spacing w:line="0" w:lineRule="atLeas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高建发〔2024〕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overflowPunct w:val="0"/>
        <w:spacing w:line="0" w:lineRule="atLeast"/>
        <w:rPr>
          <w:rFonts w:hint="eastAsia"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2"/>
      </w:pPr>
    </w:p>
    <w:p>
      <w:pPr>
        <w:spacing w:line="560" w:lineRule="exact"/>
        <w:jc w:val="center"/>
        <w:rPr>
          <w:b/>
          <w:bCs/>
          <w:w w:val="9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w w:val="90"/>
          <w:sz w:val="44"/>
          <w:szCs w:val="44"/>
        </w:rPr>
        <w:t>关于开展高阳县燃气及供水企业“双随机、一公开”跨部门联合抽查监管工作的通知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《2024年保定市“双随机、一公开”监管工作实施方案》和《2024年高阳县“双随机、一公开”监管工作实施方案》、《高阳县2024年度双随机抽查工作计划的通知》等相关文件精神，进一步推进“双随机、一公开”监管工作持续、广泛、深入地开展，结合工作实际，决定7月1日起开展2024年度燃气及供水企业 “双随机、一公开”跨部门联合抽查工作，请依据《关于开展高阳县燃气及供水企业“双随机、一公开”跨部门联合抽查监管工作实施方案》开展工作。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联系电话：高阳县住房和城乡建设局  电话 6620320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  气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象  局  电话6699323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附件：关于开展高阳县燃气及供水企业“双随机、一公开”跨部门联合抽查监管工作实施方案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高阳县住房和城乡建设局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高阳县气象局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</w:pPr>
      <w:r>
        <w:rPr>
          <w:rStyle w:val="6"/>
          <w:b/>
          <w:bCs/>
          <w:sz w:val="32"/>
          <w:szCs w:val="32"/>
        </w:rPr>
        <w:t>附件</w:t>
      </w:r>
      <w:r>
        <w:t xml:space="preserve"> </w:t>
      </w:r>
    </w:p>
    <w:p>
      <w:pPr>
        <w:pStyle w:val="5"/>
        <w:spacing w:before="0" w:beforeAutospacing="0" w:after="0" w:afterAutospacing="0"/>
        <w:jc w:val="center"/>
        <w:rPr>
          <w:rStyle w:val="7"/>
          <w:sz w:val="44"/>
          <w:szCs w:val="44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Fonts w:ascii="方正小标宋简体" w:eastAsia="方正小标宋简体"/>
        </w:rPr>
      </w:pPr>
    </w:p>
    <w:p>
      <w:pPr>
        <w:pStyle w:val="5"/>
        <w:spacing w:before="0" w:beforeAutospacing="0" w:after="0" w:afterAutospacing="0"/>
        <w:jc w:val="center"/>
        <w:rPr>
          <w:rStyle w:val="6"/>
          <w:rFonts w:ascii="方正小标宋简体" w:eastAsia="方正小标宋简体"/>
          <w:b/>
          <w:bCs/>
          <w:sz w:val="32"/>
          <w:szCs w:val="32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关于开展高阳县燃气及供水企业</w:t>
      </w:r>
    </w:p>
    <w:p>
      <w:pPr>
        <w:pStyle w:val="5"/>
        <w:spacing w:before="0" w:beforeAutospacing="0" w:after="0" w:afterAutospacing="0"/>
        <w:jc w:val="center"/>
        <w:rPr>
          <w:rStyle w:val="6"/>
          <w:b/>
          <w:bCs/>
          <w:sz w:val="32"/>
          <w:szCs w:val="32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“双随机、一公开”跨部门联合抽查监管工作实施方案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 xml:space="preserve">  为认真贯彻落实《2024年保定市“双随机、一公开”监管工作实施方案》和《2024年高阳县“双随机、一公开”监管工作实施方案》、《高阳县2024年度双随机抽查工作计划的通知》等相关文件精神，进一步推进“双随机、一公开”监管工作持续、广泛、深入地开展，提升“双随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 w:bidi="ar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一公开”监管效能</w:t>
      </w:r>
      <w:r>
        <w:rPr>
          <w:rStyle w:val="6"/>
          <w:rFonts w:hint="eastAsia" w:ascii="仿宋" w:hAnsi="仿宋" w:eastAsia="仿宋" w:cs="仿宋"/>
          <w:sz w:val="32"/>
          <w:szCs w:val="32"/>
        </w:rPr>
        <w:t>，特制定方案如下：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一、时间安排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2024年7月1日至7月31日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二、随机抽查对象及比例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（一）抽查对象范围。高阳县燃气及供水企业。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（二）抽取比例（数量）。按照企业信用风险分级分类抽查企业5户。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三、抽查部门及内容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（一）高阳县住房和城乡建设局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检查内容：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燃气、供热监督检查；燃气经营者改动市政燃气设施审批许可后的监督检查。城市供水水质监督检查；因工程建设确需改装、拆除或者迁移城市公共供水设施的审批后的监督检查；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（二）县气象局</w:t>
      </w:r>
    </w:p>
    <w:p>
      <w:pPr>
        <w:pStyle w:val="5"/>
        <w:spacing w:before="0" w:beforeAutospacing="0" w:after="0" w:afterAutospacing="0"/>
        <w:ind w:firstLine="640" w:firstLineChars="2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检查内容：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对雷电灾害防御活动的执法检查；对气象灾害防御工作的监督检查；对气象预报、灾害性天气警报、气象灾害预警信号、气象灾害预警信息等统一发布工作的监督检查；对气象信息服务的监督检查；对人工影响天气活动的监督检查；对升放气球活动的监督检查；对气象设施保护工作的监督检查；对气象探测环境保护工作的监督检查；对气象探测活动的监督检查；对气象专用技术装备使用情况的监督检查；对适用气象标准、规范、规程的监督检查；对气候可行性论证活动的监督检查；对气象资料使用活动的监督检查；对气象行政许可有关活动的监督检查。</w:t>
      </w:r>
    </w:p>
    <w:p>
      <w:pPr>
        <w:pStyle w:val="5"/>
        <w:spacing w:before="0" w:beforeAutospacing="0" w:after="0" w:afterAutospacing="0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四、抽查工作流程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（一）由高阳县住房和城乡建设局通过“河北省双随机执法监管平台”系统随机抽取本次抽查市</w:t>
      </w:r>
      <w:r>
        <w:rPr>
          <w:rStyle w:val="6"/>
          <w:rFonts w:hint="eastAsia" w:ascii="仿宋_GB2312" w:eastAsia="仿宋_GB2312"/>
          <w:sz w:val="32"/>
          <w:szCs w:val="32"/>
        </w:rPr>
        <w:t>场主体名单，由“河北省双随机执法监管平台”自动派发到相关单位，由相关部门系统管理员在三个工作日内完成比对和确认，属于本部门监管清单范围内的确认检查，不属于本部门监管清单范围内的确认不检查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（二）各相关配合部门通过“河北省双随机执法监管平台”从执法人员名录库中随机抽取执法人员，以随机匹配的方式协调配合此次双随机检查工作。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（四）检查方式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3、对企业实施联合抽查时，住建局要充分发挥牵头部门作用，统筹安排核查工作，加强部门协调配合，联合抽查单位一次性完成抽查任务。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（五）抽查结果公示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五、工作要求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（一）加强组织领导。</w:t>
      </w:r>
      <w:r>
        <w:rPr>
          <w:rStyle w:val="6"/>
          <w:rFonts w:hint="eastAsia" w:ascii="仿宋_GB2312" w:eastAsia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（二）加强监管服务。</w:t>
      </w:r>
      <w:r>
        <w:rPr>
          <w:rStyle w:val="6"/>
          <w:rFonts w:hint="eastAsia" w:ascii="仿宋_GB2312" w:eastAsia="仿宋_GB2312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（三）加强信用监管。</w:t>
      </w:r>
      <w:r>
        <w:rPr>
          <w:rStyle w:val="6"/>
          <w:rFonts w:hint="eastAsia" w:ascii="仿宋_GB2312" w:eastAsia="仿宋_GB2312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（四）加强信息反馈。</w:t>
      </w:r>
      <w:r>
        <w:rPr>
          <w:rStyle w:val="6"/>
          <w:rFonts w:hint="eastAsia" w:ascii="仿宋_GB2312" w:eastAsia="仿宋_GB2312"/>
          <w:sz w:val="32"/>
          <w:szCs w:val="32"/>
        </w:rPr>
        <w:t>各相关联合抽查单位，要以此次联合抽查工作为契机，找出监管工作漏洞并实施后续监管，杜绝监管盲区。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rPr>
          <w:rFonts w:hint="eastAsia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07"/>
    <w:rsid w:val="00400A31"/>
    <w:rsid w:val="00B55F07"/>
    <w:rsid w:val="54E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customStyle="1" w:styleId="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qowt-font9"/>
    <w:basedOn w:val="4"/>
    <w:qFormat/>
    <w:uiPriority w:val="0"/>
  </w:style>
  <w:style w:type="character" w:customStyle="1" w:styleId="7">
    <w:name w:val="qowt-font10"/>
    <w:basedOn w:val="4"/>
    <w:qFormat/>
    <w:uiPriority w:val="0"/>
  </w:style>
  <w:style w:type="character" w:customStyle="1" w:styleId="8">
    <w:name w:val="qowt-font5"/>
    <w:basedOn w:val="4"/>
    <w:qFormat/>
    <w:uiPriority w:val="0"/>
  </w:style>
  <w:style w:type="paragraph" w:customStyle="1" w:styleId="9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qowt-font1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361</Words>
  <Characters>2059</Characters>
  <Lines>17</Lines>
  <Paragraphs>4</Paragraphs>
  <TotalTime>3</TotalTime>
  <ScaleCrop>false</ScaleCrop>
  <LinksUpToDate>false</LinksUpToDate>
  <CharactersWithSpaces>2416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2024-07-03T01:58:00Z</dcterms:created>
  <dc:creator>陈鹏</dc:creator>
  <cp:lastModifiedBy>Administratorgy0312</cp:lastModifiedBy>
  <dcterms:modified xsi:type="dcterms:W3CDTF">2024-09-19T03:23:32Z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