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高司发〔202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〕1号</w:t>
      </w:r>
    </w:p>
    <w:p>
      <w:pPr>
        <w:jc w:val="center"/>
        <w:rPr>
          <w:rFonts w:ascii="仿宋" w:hAnsi="仿宋" w:eastAsia="仿宋"/>
          <w:szCs w:val="21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关于印发《高阳县司法局202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随机抽查执法事项清单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根据高阳县“双随机、一公开”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监管工作</w:t>
      </w:r>
      <w:r>
        <w:rPr>
          <w:rFonts w:hint="eastAsia" w:ascii="仿宋_GB2312" w:eastAsia="仿宋_GB2312"/>
          <w:sz w:val="32"/>
          <w:szCs w:val="32"/>
        </w:rPr>
        <w:t>相关文件精神，为做好我单位“双随机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一公开”工作，现印发《高阳县司法局2024年随机抽查执法事项清单》，请结合实际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高阳县司法局随机抽查行政执法事项清单（202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高阳县司法局</w:t>
      </w:r>
      <w:r>
        <w:rPr>
          <w:rFonts w:hint="eastAsia" w:ascii="仿宋_GB2312" w:eastAsia="仿宋_GB2312"/>
          <w:sz w:val="32"/>
          <w:szCs w:val="32"/>
          <w:lang w:eastAsia="zh-CN"/>
        </w:rPr>
        <w:t>“一业一查”部门联合随机抽查</w:t>
      </w:r>
      <w:r>
        <w:rPr>
          <w:rFonts w:hint="eastAsia" w:ascii="仿宋_GB2312" w:eastAsia="仿宋_GB2312"/>
          <w:sz w:val="32"/>
          <w:szCs w:val="32"/>
        </w:rPr>
        <w:t>事项清单（202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高阳县司法局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afterLines="50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高阳县司法局随机抽查行政执法事项清单（202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44"/>
          <w:szCs w:val="44"/>
        </w:rPr>
        <w:t>版）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43"/>
        <w:gridCol w:w="1107"/>
        <w:gridCol w:w="1762"/>
        <w:gridCol w:w="881"/>
        <w:gridCol w:w="1500"/>
        <w:gridCol w:w="3300"/>
        <w:gridCol w:w="1407"/>
        <w:gridCol w:w="2485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Header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抽查类别名称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检查内容及要求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法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对律师事务所的监督检查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对律师事务所（分所）设立、变更、注销的监管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律师法》第六条、第十八条；《律师事务所年度检查考核办法》第六条、第七条、第八条、第九条、第十条；《外国律师事务所驻华代表机构管理条例》第八条、第十二条、第十四条；《香港、澳门特别行政区律师事务所驻内地代表机构管理办法》第六条、第九条、第十二条、第十三条。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实地检查、书面检查、聘请专业机构检查</w:t>
            </w:r>
          </w:p>
        </w:tc>
        <w:tc>
          <w:tcPr>
            <w:tcW w:w="8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律师队伍建设情况；业务活动开展情况；律师执业表现情况；内部管理情况；履行律师协会会员义务情况；按规定办理审批事项情况。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对律师的执业、变更、注销的监管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对基层法律服务所的监督检查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基层法律服务所年度考核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《基层法律服务所管理办法》第六条、第十条、第十一条、第二十九条；《基层法律服务工作者管理办法》第五条、第九条、第十五条、第十六条、第四十条。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实地检查、书面检查</w:t>
            </w:r>
          </w:p>
        </w:tc>
        <w:tc>
          <w:tcPr>
            <w:tcW w:w="8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业务活动开展情况；基层法律服务工作者职业表现情况；内部管理情况；按规定办理审批事项情况。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基层法律服务工作者年度考核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对基层法律服务所变更核准、注销登记的监管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对基层法律服务工作者执业核准、变更核准、注销登记的监管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对公证机构的监督检查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对公证机构和公证员进行监管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《中华人民共和国公证法》第五条；《公证机构执业管理办法》第五条、第二十四条、第三十四条；《公证员执业管理办法》第五条、第二十一条、第二十六条。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实地检查、书面检查、网络监测、邮寄检查材料等方式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公证机构的组织建设、队伍建设、执业活动、内部管理和公证质量等情况。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对司法鉴定机构及其鉴定人的监督检查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对鉴定人或者鉴定机构执业活动的监督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《司法鉴定机构登记管理办法》第四条、第十条第四款、第十一条；《司法鉴定人登记管理办法》第四条、第九条、第十条；《河北省司法鉴定管理条例》第四条。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实地检查、书面检查</w:t>
            </w:r>
          </w:p>
        </w:tc>
        <w:tc>
          <w:tcPr>
            <w:tcW w:w="8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对鉴定人或者鉴定机构违法违规行为的监管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对律师事务所及其律师承办法律援助事项的监督检查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对律师事务所及其律师承办法律援助事项的监督检查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县法律援助中心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《中华人民共和国法律援助法》第五十七条。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根据司法部《民事法律援助案件同行评估标准》及《刑事法律援助案件质量评估标准》对法律援助案卷质量进行评估。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afterLines="50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RANGE!A2:K6"/>
      <w:r>
        <w:rPr>
          <w:rFonts w:hint="eastAsia" w:ascii="黑体" w:hAnsi="黑体" w:eastAsia="黑体" w:cs="宋体"/>
          <w:kern w:val="0"/>
          <w:sz w:val="44"/>
          <w:szCs w:val="44"/>
        </w:rPr>
        <w:t>高阳县司法局“一业一查”部门联合随机抽查事项清单（202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44"/>
          <w:szCs w:val="44"/>
        </w:rPr>
        <w:t>版）</w:t>
      </w:r>
      <w:bookmarkEnd w:id="0"/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62"/>
        <w:gridCol w:w="753"/>
        <w:gridCol w:w="8912"/>
        <w:gridCol w:w="970"/>
        <w:gridCol w:w="1188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牵头部门抽查事项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配合部门抽查事项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对律师事务所的监督检查；对律师事务所及其律师承办法律援助事项的监督检查。对基层法律服务所的监督检查；对公证机构的监督检查；对司法鉴定机构及其鉴定人的监督检查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价格行为检查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律师事务所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2888626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Theme="minorEastAsia" w:hAnsiTheme="minorEastAsia"/>
            <w:b/>
            <w:sz w:val="24"/>
            <w:szCs w:val="24"/>
          </w:rPr>
          <w:fldChar w:fldCharType="begin"/>
        </w:r>
        <w:r>
          <w:rPr>
            <w:rFonts w:asciiTheme="minorEastAsia" w:hAnsiTheme="minorEastAsia"/>
            <w:b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b/>
            <w:sz w:val="24"/>
            <w:szCs w:val="24"/>
          </w:rPr>
          <w:fldChar w:fldCharType="separate"/>
        </w:r>
        <w:r>
          <w:rPr>
            <w:rFonts w:asciiTheme="minorEastAsia" w:hAnsiTheme="minorEastAsia"/>
            <w:b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b/>
            <w:sz w:val="24"/>
            <w:szCs w:val="24"/>
          </w:rPr>
          <w:t xml:space="preserve"> 2 -</w:t>
        </w:r>
        <w:r>
          <w:rPr>
            <w:rFonts w:asciiTheme="minorEastAsia" w:hAnsiTheme="minorEastAsia"/>
            <w:b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061722"/>
    <w:rsid w:val="00171C45"/>
    <w:rsid w:val="00185021"/>
    <w:rsid w:val="00192DC2"/>
    <w:rsid w:val="0023696B"/>
    <w:rsid w:val="00304B24"/>
    <w:rsid w:val="00353EC2"/>
    <w:rsid w:val="003653DB"/>
    <w:rsid w:val="003D5E14"/>
    <w:rsid w:val="004342D0"/>
    <w:rsid w:val="00507AE2"/>
    <w:rsid w:val="00513E1A"/>
    <w:rsid w:val="00602A12"/>
    <w:rsid w:val="00656EB6"/>
    <w:rsid w:val="00657682"/>
    <w:rsid w:val="00744F95"/>
    <w:rsid w:val="007D5841"/>
    <w:rsid w:val="0080455F"/>
    <w:rsid w:val="00810FDC"/>
    <w:rsid w:val="00815995"/>
    <w:rsid w:val="00875724"/>
    <w:rsid w:val="00881153"/>
    <w:rsid w:val="00897F87"/>
    <w:rsid w:val="0091705F"/>
    <w:rsid w:val="0098118A"/>
    <w:rsid w:val="00A04A38"/>
    <w:rsid w:val="00AC739C"/>
    <w:rsid w:val="00AD7AB7"/>
    <w:rsid w:val="00AF74BC"/>
    <w:rsid w:val="00B40747"/>
    <w:rsid w:val="00B975BD"/>
    <w:rsid w:val="00BB2627"/>
    <w:rsid w:val="00C00663"/>
    <w:rsid w:val="00C17FF0"/>
    <w:rsid w:val="00C27902"/>
    <w:rsid w:val="00C674DE"/>
    <w:rsid w:val="00CD008C"/>
    <w:rsid w:val="00CD79DA"/>
    <w:rsid w:val="00CF7F04"/>
    <w:rsid w:val="00D13E9E"/>
    <w:rsid w:val="00D15588"/>
    <w:rsid w:val="00D43354"/>
    <w:rsid w:val="00D7135F"/>
    <w:rsid w:val="00DA241A"/>
    <w:rsid w:val="00E74B7F"/>
    <w:rsid w:val="00F3038B"/>
    <w:rsid w:val="045B141B"/>
    <w:rsid w:val="0B0E3A7E"/>
    <w:rsid w:val="167F1E3A"/>
    <w:rsid w:val="1B6B2006"/>
    <w:rsid w:val="1E410108"/>
    <w:rsid w:val="30221C48"/>
    <w:rsid w:val="315869BA"/>
    <w:rsid w:val="31BA3460"/>
    <w:rsid w:val="37196A3E"/>
    <w:rsid w:val="3BEB4404"/>
    <w:rsid w:val="46815132"/>
    <w:rsid w:val="60754970"/>
    <w:rsid w:val="6215427B"/>
    <w:rsid w:val="67FF20DF"/>
    <w:rsid w:val="6A046063"/>
    <w:rsid w:val="72DF5F14"/>
    <w:rsid w:val="752C6E70"/>
    <w:rsid w:val="78C82FF4"/>
    <w:rsid w:val="7BFF31F2"/>
    <w:rsid w:val="7F7757E2"/>
    <w:rsid w:val="7FCF32AA"/>
    <w:rsid w:val="9D7DCE45"/>
    <w:rsid w:val="A2FFE95E"/>
    <w:rsid w:val="DDB6AF8A"/>
    <w:rsid w:val="FF7F35D8"/>
    <w:rsid w:val="FFDFA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1487</Words>
  <Characters>1519</Characters>
  <Lines>5</Lines>
  <Paragraphs>1</Paragraphs>
  <TotalTime>4</TotalTime>
  <ScaleCrop>false</ScaleCrop>
  <LinksUpToDate>false</LinksUpToDate>
  <CharactersWithSpaces>1595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2019-06-13T17:51:00Z</dcterms:created>
  <dc:creator>Windows 用户</dc:creator>
  <cp:lastModifiedBy>游多多</cp:lastModifiedBy>
  <cp:lastPrinted>2023-02-24T17:25:00Z</cp:lastPrinted>
  <dcterms:modified xsi:type="dcterms:W3CDTF">2024-03-22T06:53:59Z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077E3FC3DCD247168E28A332906F2BF0</vt:lpwstr>
  </property>
</Properties>
</file>