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320" w:lineRule="exact"/>
        <w:jc w:val="center"/>
        <w:rPr>
          <w:rFonts w:ascii="仿宋" w:hAnsi="仿宋" w:eastAsia="仿宋"/>
          <w:szCs w:val="32"/>
        </w:rPr>
      </w:pPr>
    </w:p>
    <w:p>
      <w:pPr>
        <w:spacing w:afterLines="100" w:line="320" w:lineRule="exact"/>
        <w:jc w:val="center"/>
        <w:rPr>
          <w:rFonts w:ascii="仿宋" w:hAnsi="仿宋" w:eastAsia="仿宋"/>
          <w:szCs w:val="32"/>
        </w:rPr>
      </w:pPr>
    </w:p>
    <w:p>
      <w:pPr>
        <w:pStyle w:val="2"/>
      </w:pPr>
    </w:p>
    <w:p/>
    <w:p>
      <w:pPr>
        <w:pStyle w:val="2"/>
      </w:pPr>
    </w:p>
    <w:p>
      <w:pPr>
        <w:pStyle w:val="2"/>
      </w:pPr>
    </w:p>
    <w:p/>
    <w:p>
      <w:pPr>
        <w:spacing w:line="0" w:lineRule="atLeast"/>
        <w:jc w:val="center"/>
        <w:rPr>
          <w:rFonts w:ascii="仿宋_GB2312" w:hAnsi="仿宋" w:eastAsia="仿宋_GB2312"/>
          <w:sz w:val="32"/>
          <w:szCs w:val="32"/>
        </w:rPr>
      </w:pPr>
      <w:r>
        <w:rPr>
          <w:rFonts w:hint="eastAsia" w:ascii="仿宋_GB2312" w:hAnsi="仿宋" w:eastAsia="仿宋_GB2312"/>
          <w:sz w:val="32"/>
          <w:szCs w:val="32"/>
        </w:rPr>
        <w:t>高建发〔2025〕12号</w:t>
      </w:r>
    </w:p>
    <w:p>
      <w:pPr>
        <w:overflowPunct w:val="0"/>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hint="eastAsia" w:ascii="方正小标宋简体" w:hAnsi="宋体" w:eastAsia="方正小标宋简体"/>
          <w:b/>
          <w:bCs/>
          <w:sz w:val="44"/>
          <w:szCs w:val="44"/>
        </w:rPr>
      </w:pPr>
      <w:r>
        <w:rPr>
          <w:rFonts w:hint="eastAsia" w:ascii="方正小标宋简体" w:hAnsi="宋体" w:eastAsia="方正小标宋简体"/>
          <w:b/>
          <w:bCs/>
          <w:sz w:val="44"/>
          <w:szCs w:val="44"/>
        </w:rPr>
        <w:t>高阳县住房和城乡建设局</w:t>
      </w:r>
    </w:p>
    <w:p>
      <w:pPr>
        <w:pStyle w:val="3"/>
        <w:spacing w:before="0" w:beforeAutospacing="0" w:after="0" w:afterAutospacing="0" w:line="560" w:lineRule="exact"/>
        <w:ind w:right="130"/>
        <w:jc w:val="center"/>
        <w:rPr>
          <w:rFonts w:hint="eastAsia" w:ascii="方正小标宋简体" w:hAnsi="宋体" w:eastAsia="方正小标宋简体" w:cs="Times New Roman"/>
          <w:b/>
          <w:bCs/>
          <w:spacing w:val="-4"/>
        </w:rPr>
      </w:pPr>
      <w:r>
        <w:rPr>
          <w:rFonts w:hint="eastAsia" w:ascii="方正小标宋简体" w:hAnsi="黑体" w:eastAsia="方正小标宋简体"/>
          <w:b/>
          <w:bCs/>
          <w:spacing w:val="-4"/>
        </w:rPr>
        <w:t>2025年“双随机、一公开”监管工作实施方案</w:t>
      </w:r>
    </w:p>
    <w:p>
      <w:pPr>
        <w:pStyle w:val="4"/>
        <w:adjustRightInd w:val="0"/>
        <w:snapToGrid w:val="0"/>
        <w:spacing w:before="0" w:beforeAutospacing="0" w:after="0" w:afterAutospacing="0" w:line="560" w:lineRule="exact"/>
        <w:ind w:left="0" w:right="23" w:rightChars="11" w:firstLine="640" w:firstLineChars="200"/>
        <w:contextualSpacing/>
        <w:rPr>
          <w:rFonts w:hint="eastAsia" w:ascii="仿宋_GB2312" w:eastAsia="仿宋_GB2312" w:cs="Times New Roman"/>
          <w:kern w:val="0"/>
        </w:rPr>
      </w:pPr>
    </w:p>
    <w:p>
      <w:pPr>
        <w:pStyle w:val="4"/>
        <w:adjustRightInd w:val="0"/>
        <w:snapToGrid w:val="0"/>
        <w:spacing w:before="0" w:beforeAutospacing="0" w:after="0" w:afterAutospacing="0" w:line="560" w:lineRule="exact"/>
        <w:ind w:left="0" w:right="23" w:rightChars="11" w:firstLine="640" w:firstLineChars="200"/>
        <w:contextualSpacing/>
        <w:rPr>
          <w:rFonts w:hint="eastAsia" w:ascii="仿宋_GB2312" w:hAnsi="仿宋" w:eastAsia="仿宋_GB2312" w:cs="Times New Roman"/>
        </w:rPr>
      </w:pPr>
      <w:r>
        <w:rPr>
          <w:rFonts w:hint="eastAsia" w:ascii="仿宋_GB2312" w:eastAsia="仿宋_GB2312" w:cs="Times New Roman"/>
          <w:kern w:val="0"/>
        </w:rPr>
        <w:t>为深入贯彻落实国务院、省委省政府、市委市政府、县委县政府关于优化营商环境部署要求，持续强化“双随机、一公开”监管，提升监管效能，根据</w:t>
      </w:r>
      <w:r>
        <w:rPr>
          <w:rFonts w:hint="eastAsia" w:ascii="仿宋_GB2312" w:hAnsi="仿宋" w:eastAsia="仿宋_GB2312" w:cs="Times New Roman"/>
        </w:rPr>
        <w:t>高双随机办【2025】1号等文件要求，结合我局实际，制定本方案。</w:t>
      </w:r>
    </w:p>
    <w:p>
      <w:pPr>
        <w:pStyle w:val="4"/>
        <w:adjustRightInd w:val="0"/>
        <w:snapToGrid w:val="0"/>
        <w:spacing w:before="0" w:beforeAutospacing="0" w:after="0" w:afterAutospacing="0" w:line="560" w:lineRule="exact"/>
        <w:ind w:left="0" w:firstLine="640" w:firstLineChars="200"/>
        <w:contextualSpacing/>
        <w:rPr>
          <w:rFonts w:hint="eastAsia" w:ascii="Times New Roman" w:eastAsia="黑体" w:cs="Times New Roman"/>
        </w:rPr>
      </w:pPr>
      <w:r>
        <w:rPr>
          <w:rFonts w:ascii="黑体" w:hAnsi="黑体" w:eastAsia="黑体" w:cs="Times New Roman"/>
        </w:rPr>
        <w:t>一、工作</w:t>
      </w:r>
      <w:r>
        <w:rPr>
          <w:rFonts w:hint="eastAsia" w:ascii="黑体" w:hAnsi="黑体" w:eastAsia="黑体" w:cs="Times New Roman"/>
        </w:rPr>
        <w:t>思路及</w:t>
      </w:r>
      <w:r>
        <w:rPr>
          <w:rFonts w:ascii="黑体" w:hAnsi="黑体" w:eastAsia="黑体" w:cs="Times New Roman"/>
        </w:rPr>
        <w:t>目标</w:t>
      </w:r>
    </w:p>
    <w:p>
      <w:pPr>
        <w:adjustRightInd w:val="0"/>
        <w:snapToGrid w:val="0"/>
        <w:spacing w:line="560" w:lineRule="exact"/>
        <w:ind w:firstLine="640" w:firstLineChars="200"/>
        <w:contextualSpacing/>
        <w:rPr>
          <w:rFonts w:ascii="仿宋_GB2312" w:eastAsia="仿宋_GB2312"/>
          <w:kern w:val="60"/>
          <w:sz w:val="32"/>
          <w:szCs w:val="32"/>
        </w:rPr>
      </w:pPr>
      <w:r>
        <w:rPr>
          <w:rFonts w:hint="eastAsia" w:ascii="仿宋_GB2312" w:eastAsia="仿宋_GB2312"/>
          <w:kern w:val="60"/>
          <w:sz w:val="32"/>
          <w:szCs w:val="32"/>
        </w:rPr>
        <w:t>（一）完善工作机制，提升抽查工作规范化水平。</w:t>
      </w:r>
    </w:p>
    <w:p>
      <w:pPr>
        <w:pStyle w:val="4"/>
        <w:adjustRightInd w:val="0"/>
        <w:snapToGrid w:val="0"/>
        <w:spacing w:before="0" w:beforeAutospacing="0" w:after="0" w:afterAutospacing="0" w:line="560" w:lineRule="exact"/>
        <w:ind w:left="0"/>
        <w:contextualSpacing/>
        <w:rPr>
          <w:rFonts w:hint="eastAsia" w:ascii="仿宋_GB2312" w:hAnsi="仿宋" w:eastAsia="仿宋_GB2312" w:cs="Times New Roman"/>
        </w:rPr>
      </w:pPr>
      <w:r>
        <w:rPr>
          <w:rFonts w:hint="eastAsia" w:ascii="仿宋_GB2312" w:hAnsi="仿宋" w:eastAsia="仿宋_GB2312" w:cs="Times New Roman"/>
        </w:rPr>
        <w:t xml:space="preserve">    深入推进我局“双随机、一公开”工作的全面开展，进一步完善各项制度，健全监管机制。</w:t>
      </w:r>
    </w:p>
    <w:p>
      <w:pPr>
        <w:adjustRightInd w:val="0"/>
        <w:snapToGrid w:val="0"/>
        <w:spacing w:line="560" w:lineRule="exact"/>
        <w:ind w:firstLine="640" w:firstLineChars="200"/>
        <w:contextualSpacing/>
        <w:rPr>
          <w:rFonts w:hint="eastAsia" w:ascii="仿宋_GB2312" w:eastAsia="仿宋_GB2312"/>
          <w:sz w:val="32"/>
          <w:szCs w:val="32"/>
        </w:rPr>
      </w:pPr>
      <w:r>
        <w:rPr>
          <w:rFonts w:hint="eastAsia" w:ascii="仿宋_GB2312" w:eastAsia="仿宋_GB2312"/>
          <w:kern w:val="60"/>
          <w:sz w:val="32"/>
          <w:szCs w:val="32"/>
        </w:rPr>
        <w:t>（二）强化部门联合，提升联合抽查的地位和作用</w:t>
      </w:r>
      <w:r>
        <w:rPr>
          <w:rFonts w:hint="eastAsia" w:ascii="仿宋_GB2312" w:eastAsia="仿宋_GB2312"/>
          <w:sz w:val="32"/>
          <w:szCs w:val="32"/>
        </w:rPr>
        <w:t>。</w:t>
      </w:r>
    </w:p>
    <w:p>
      <w:pPr>
        <w:pStyle w:val="4"/>
        <w:adjustRightInd w:val="0"/>
        <w:snapToGrid w:val="0"/>
        <w:spacing w:before="0" w:beforeAutospacing="0" w:after="0" w:afterAutospacing="0" w:line="560" w:lineRule="exact"/>
        <w:ind w:left="0" w:firstLine="640" w:firstLineChars="200"/>
        <w:contextualSpacing/>
        <w:rPr>
          <w:rFonts w:hint="eastAsia" w:ascii="仿宋_GB2312" w:hAnsi="仿宋" w:eastAsia="仿宋_GB2312" w:cs="Times New Roman"/>
        </w:rPr>
      </w:pPr>
      <w:r>
        <w:rPr>
          <w:rFonts w:hint="eastAsia" w:ascii="仿宋_GB2312" w:hAnsi="仿宋" w:eastAsia="仿宋_GB2312" w:cs="Times New Roman"/>
        </w:rPr>
        <w:t>加强部门间的协调联动，使部门联合抽查成为日常监管的主要方式。</w:t>
      </w:r>
    </w:p>
    <w:p>
      <w:pPr>
        <w:adjustRightInd w:val="0"/>
        <w:snapToGrid w:val="0"/>
        <w:spacing w:line="560" w:lineRule="exact"/>
        <w:ind w:left="640"/>
        <w:contextualSpacing/>
        <w:rPr>
          <w:rFonts w:hint="eastAsia" w:ascii="仿宋_GB2312" w:eastAsia="仿宋_GB2312"/>
          <w:spacing w:val="-6"/>
          <w:kern w:val="60"/>
          <w:sz w:val="32"/>
          <w:szCs w:val="32"/>
        </w:rPr>
      </w:pPr>
      <w:r>
        <w:rPr>
          <w:rFonts w:hint="eastAsia" w:ascii="仿宋_GB2312" w:eastAsia="仿宋_GB2312"/>
          <w:kern w:val="60"/>
          <w:sz w:val="32"/>
          <w:szCs w:val="32"/>
        </w:rPr>
        <w:t>（三）完善工作流程，实现抽查工作的</w:t>
      </w:r>
      <w:bookmarkStart w:id="0" w:name="_GoBack"/>
      <w:bookmarkEnd w:id="0"/>
      <w:r>
        <w:rPr>
          <w:rFonts w:hint="eastAsia" w:ascii="仿宋_GB2312" w:eastAsia="仿宋_GB2312"/>
          <w:kern w:val="60"/>
          <w:sz w:val="32"/>
          <w:szCs w:val="32"/>
        </w:rPr>
        <w:t>闭环管理</w:t>
      </w:r>
      <w:r>
        <w:rPr>
          <w:rFonts w:hint="eastAsia" w:ascii="仿宋_GB2312" w:eastAsia="仿宋_GB2312"/>
          <w:spacing w:val="-6"/>
          <w:kern w:val="60"/>
          <w:sz w:val="32"/>
          <w:szCs w:val="32"/>
        </w:rPr>
        <w:t>。</w:t>
      </w:r>
    </w:p>
    <w:p>
      <w:pPr>
        <w:adjustRightInd w:val="0"/>
        <w:snapToGrid w:val="0"/>
        <w:spacing w:line="560" w:lineRule="exact"/>
        <w:contextualSpacing/>
        <w:rPr>
          <w:rFonts w:hint="eastAsia" w:ascii="仿宋_GB2312" w:eastAsia="仿宋_GB2312"/>
          <w:spacing w:val="-6"/>
          <w:kern w:val="60"/>
          <w:sz w:val="32"/>
          <w:szCs w:val="32"/>
        </w:rPr>
      </w:pPr>
      <w:r>
        <w:rPr>
          <w:rFonts w:hint="eastAsia" w:ascii="仿宋_GB2312" w:eastAsia="仿宋_GB2312"/>
          <w:kern w:val="60"/>
          <w:sz w:val="32"/>
          <w:szCs w:val="32"/>
        </w:rPr>
        <w:t xml:space="preserve">    （四）实施差异化监管，提升监管执法效能。</w:t>
      </w:r>
    </w:p>
    <w:p>
      <w:pPr>
        <w:pStyle w:val="4"/>
        <w:adjustRightInd w:val="0"/>
        <w:snapToGrid w:val="0"/>
        <w:spacing w:before="0" w:beforeAutospacing="0" w:after="0" w:afterAutospacing="0" w:line="560" w:lineRule="exact"/>
        <w:ind w:left="0" w:firstLine="640" w:firstLineChars="200"/>
        <w:contextualSpacing/>
        <w:rPr>
          <w:rFonts w:hint="eastAsia" w:ascii="仿宋_GB2312" w:hAnsi="仿宋" w:eastAsia="仿宋_GB2312" w:cs="Times New Roman"/>
        </w:rPr>
      </w:pPr>
      <w:r>
        <w:rPr>
          <w:rFonts w:hint="eastAsia" w:ascii="仿宋_GB2312" w:hAnsi="仿宋" w:eastAsia="仿宋_GB2312" w:cs="Times New Roman"/>
        </w:rPr>
        <w:t>以提高随机抽查的精准性为目标，持续完善企业信用风险差异化随机抽查机制，不断提升随机抽查的精准性。</w:t>
      </w:r>
    </w:p>
    <w:p>
      <w:pPr>
        <w:pStyle w:val="4"/>
        <w:adjustRightInd w:val="0"/>
        <w:snapToGrid w:val="0"/>
        <w:spacing w:before="0" w:beforeAutospacing="0" w:after="0" w:afterAutospacing="0" w:line="560" w:lineRule="exact"/>
        <w:ind w:left="0" w:firstLine="640" w:firstLineChars="200"/>
        <w:contextualSpacing/>
        <w:rPr>
          <w:rFonts w:hint="eastAsia" w:ascii="仿宋_GB2312" w:hAnsi="仿宋" w:eastAsia="仿宋_GB2312" w:cs="Times New Roman"/>
        </w:rPr>
      </w:pPr>
      <w:r>
        <w:rPr>
          <w:rFonts w:hint="eastAsia" w:ascii="仿宋_GB2312" w:eastAsia="仿宋_GB2312"/>
          <w:kern w:val="60"/>
        </w:rPr>
        <w:t>（五）开展督查考核，提升工作质效。</w:t>
      </w:r>
    </w:p>
    <w:p>
      <w:pPr>
        <w:pStyle w:val="4"/>
        <w:spacing w:before="0" w:beforeAutospacing="0" w:after="0" w:afterAutospacing="0" w:line="560" w:lineRule="exact"/>
        <w:contextualSpacing/>
        <w:rPr>
          <w:rFonts w:hint="eastAsia" w:ascii="Times New Roman" w:eastAsia="黑体" w:cs="Times New Roman"/>
        </w:rPr>
      </w:pPr>
      <w:r>
        <w:rPr>
          <w:rFonts w:hint="eastAsia" w:ascii="黑体" w:hAnsi="黑体" w:eastAsia="黑体" w:cs="Times New Roman"/>
        </w:rPr>
        <w:t xml:space="preserve">    </w:t>
      </w:r>
      <w:r>
        <w:rPr>
          <w:rFonts w:ascii="黑体" w:hAnsi="黑体" w:eastAsia="黑体" w:cs="Times New Roman"/>
        </w:rPr>
        <w:t>二、主要工作任务</w:t>
      </w:r>
    </w:p>
    <w:p>
      <w:pPr>
        <w:spacing w:line="560" w:lineRule="exact"/>
        <w:ind w:firstLine="643" w:firstLineChars="200"/>
        <w:contextualSpacing/>
        <w:rPr>
          <w:rFonts w:ascii="仿宋_GB2312" w:hAnsi="仿宋" w:eastAsia="仿宋_GB2312"/>
          <w:sz w:val="32"/>
          <w:szCs w:val="32"/>
        </w:rPr>
      </w:pPr>
      <w:r>
        <w:rPr>
          <w:rFonts w:hint="eastAsia" w:ascii="楷体_GB2312" w:eastAsia="楷体_GB2312"/>
          <w:b/>
          <w:color w:val="000000"/>
          <w:kern w:val="60"/>
          <w:sz w:val="32"/>
          <w:szCs w:val="32"/>
        </w:rPr>
        <w:t>（一）夯实工作基础。</w:t>
      </w:r>
      <w:r>
        <w:rPr>
          <w:rFonts w:hint="eastAsia" w:ascii="仿宋_GB2312" w:hAnsi="仿宋" w:eastAsia="仿宋_GB2312"/>
          <w:sz w:val="32"/>
          <w:szCs w:val="32"/>
        </w:rPr>
        <w:t>依托河北省双随机执法监管平台并在平台中持续完善“一单两库”等基础信息，要依据自身对应的监管职责及时对涉及本部门监管事权的事项进行认领，形成本级的抽查事项清单。同时要动态调整本部门检查对象名录库和执法检查人员名录库，确保本部门检查对象和执法人员“应纳尽纳”。利用分类标签库完成对本级检查对象和执法检查人员的分类标注，实现对检查对象的精准抽取、对执法人员的精准匹配。</w:t>
      </w:r>
    </w:p>
    <w:p>
      <w:pPr>
        <w:spacing w:line="560" w:lineRule="exact"/>
        <w:ind w:firstLine="643" w:firstLineChars="200"/>
        <w:contextualSpacing/>
        <w:rPr>
          <w:rFonts w:hint="eastAsia" w:ascii="仿宋_GB2312" w:hAnsi="仿宋" w:eastAsia="仿宋_GB2312"/>
          <w:sz w:val="32"/>
          <w:szCs w:val="32"/>
        </w:rPr>
      </w:pPr>
      <w:r>
        <w:rPr>
          <w:rFonts w:hint="eastAsia" w:ascii="楷体_GB2312" w:eastAsia="楷体_GB2312"/>
          <w:b/>
          <w:color w:val="000000"/>
          <w:kern w:val="60"/>
          <w:sz w:val="32"/>
          <w:szCs w:val="32"/>
        </w:rPr>
        <w:t>（二）着力</w:t>
      </w:r>
      <w:r>
        <w:rPr>
          <w:rFonts w:hint="eastAsia" w:ascii="楷体_GB2312" w:eastAsia="楷体_GB2312"/>
          <w:b/>
          <w:bCs/>
          <w:sz w:val="32"/>
          <w:szCs w:val="32"/>
        </w:rPr>
        <w:t>提升监管效能。</w:t>
      </w:r>
      <w:r>
        <w:rPr>
          <w:rFonts w:hint="eastAsia" w:ascii="仿宋_GB2312" w:hAnsi="仿宋" w:eastAsia="仿宋_GB2312"/>
          <w:sz w:val="32"/>
          <w:szCs w:val="32"/>
        </w:rPr>
        <w:t>积极推进“双随机、一公开”监管与企业信用风险分级分类相结合，以制定年度随机抽查计划为抓手，将企业信用风险分级分类结果与“双随机、一公开”监管深度融合，推动重点监管与“双随机、一公开”监管有效对接，进一步健全完善部门联合抽查工作机制，开展部门联合抽查工作氛围，最大限度减少对市场主体正常生产经营活动的干扰，优化营商环境。</w:t>
      </w:r>
    </w:p>
    <w:p>
      <w:pPr>
        <w:spacing w:line="560" w:lineRule="exact"/>
        <w:ind w:firstLine="643" w:firstLineChars="200"/>
        <w:contextualSpacing/>
        <w:rPr>
          <w:rFonts w:hint="eastAsia" w:ascii="仿宋_GB2312" w:hAnsi="仿宋" w:eastAsia="仿宋_GB2312"/>
          <w:sz w:val="32"/>
          <w:szCs w:val="32"/>
        </w:rPr>
      </w:pPr>
      <w:r>
        <w:rPr>
          <w:rFonts w:hint="eastAsia" w:ascii="楷体_GB2312" w:eastAsia="楷体_GB2312"/>
          <w:b/>
          <w:color w:val="000000"/>
          <w:kern w:val="60"/>
          <w:sz w:val="32"/>
          <w:szCs w:val="32"/>
        </w:rPr>
        <w:t>（三）规范实施检查。</w:t>
      </w:r>
      <w:r>
        <w:rPr>
          <w:rFonts w:hint="eastAsia" w:ascii="仿宋_GB2312" w:hAnsi="仿宋" w:eastAsia="仿宋_GB2312"/>
          <w:sz w:val="32"/>
          <w:szCs w:val="32"/>
        </w:rPr>
        <w:t>严格计划实施，要结合工作实际，制定的年度抽查工作计划及时向社会公开，并严格按照年度抽查工作计划实施。要认真落实《河北省双随机工作规范》要求，严格规范随机抽查工作程序，提高“双随机、一公开”监管规范化水平。严格按照年度随机抽查计划开展抽查，加强组织随机抽查前的业务培训力度，提升抽查效果；年度计划、实施方案、抽查结果及处理结果要及时向社会公开。加大对抽查发现的违法失信行为的信用惩戒力度，提升随机抽查效能和震慑力。</w:t>
      </w:r>
    </w:p>
    <w:p>
      <w:pPr>
        <w:spacing w:line="560" w:lineRule="exact"/>
        <w:ind w:firstLine="643" w:firstLineChars="200"/>
        <w:contextualSpacing/>
        <w:rPr>
          <w:rFonts w:hint="eastAsia" w:ascii="楷体_GB2312" w:hAnsi="仿宋_GB2312" w:eastAsia="楷体_GB2312" w:cs="仿宋_GB2312"/>
          <w:color w:val="000000"/>
          <w:kern w:val="60"/>
          <w:sz w:val="32"/>
          <w:szCs w:val="32"/>
        </w:rPr>
      </w:pPr>
      <w:r>
        <w:rPr>
          <w:rFonts w:hint="eastAsia" w:ascii="楷体_GB2312" w:eastAsia="楷体_GB2312"/>
          <w:b/>
          <w:color w:val="000000"/>
          <w:kern w:val="60"/>
          <w:sz w:val="32"/>
          <w:szCs w:val="32"/>
        </w:rPr>
        <w:t>（四）强化服务意识。</w:t>
      </w:r>
      <w:r>
        <w:rPr>
          <w:rFonts w:hint="eastAsia" w:ascii="仿宋_GB2312" w:hAnsi="仿宋" w:eastAsia="仿宋_GB2312"/>
          <w:sz w:val="32"/>
          <w:szCs w:val="32"/>
        </w:rPr>
        <w:t>要牢固树立寓服务于监管之中的理念，大力推行服务型执法，在抽查检查过程中要开展相关法律法规政策宣教、合规经营指导，并及时回应经营主体有关问题及诉求。</w:t>
      </w:r>
    </w:p>
    <w:p>
      <w:pPr>
        <w:pStyle w:val="4"/>
        <w:spacing w:before="0" w:beforeAutospacing="0" w:after="0" w:afterAutospacing="0" w:line="560" w:lineRule="exact"/>
        <w:ind w:left="0"/>
        <w:contextualSpacing/>
        <w:rPr>
          <w:rFonts w:hint="eastAsia" w:ascii="Times New Roman" w:eastAsia="黑体" w:cs="Times New Roman"/>
        </w:rPr>
      </w:pPr>
      <w:r>
        <w:rPr>
          <w:rFonts w:hint="eastAsia" w:ascii="黑体" w:hAnsi="黑体" w:eastAsia="黑体" w:cs="Times New Roman"/>
        </w:rPr>
        <w:t xml:space="preserve">    </w:t>
      </w:r>
      <w:r>
        <w:rPr>
          <w:rFonts w:ascii="黑体" w:hAnsi="黑体" w:eastAsia="黑体" w:cs="Times New Roman"/>
        </w:rPr>
        <w:t>三、工作要求</w:t>
      </w:r>
    </w:p>
    <w:p>
      <w:pPr>
        <w:spacing w:line="560" w:lineRule="exact"/>
        <w:contextualSpacing/>
        <w:rPr>
          <w:rFonts w:ascii="仿宋_GB2312" w:hAnsi="仿宋" w:eastAsia="仿宋_GB2312"/>
          <w:sz w:val="32"/>
          <w:szCs w:val="32"/>
        </w:rPr>
      </w:pPr>
      <w:r>
        <w:rPr>
          <w:rFonts w:hint="eastAsia" w:ascii="楷体_GB2312" w:eastAsia="楷体_GB2312"/>
          <w:b/>
          <w:color w:val="000000"/>
          <w:kern w:val="60"/>
          <w:sz w:val="32"/>
          <w:szCs w:val="32"/>
        </w:rPr>
        <w:t xml:space="preserve">    （一）提高思想认识，加强组织领导。</w:t>
      </w:r>
      <w:r>
        <w:rPr>
          <w:rFonts w:hint="eastAsia" w:ascii="仿宋_GB2312" w:hAnsi="仿宋" w:eastAsia="仿宋_GB2312"/>
          <w:sz w:val="32"/>
          <w:szCs w:val="32"/>
        </w:rPr>
        <w:t>要充分认识“双随机、一公开”监管对于构建新型监管机制、提升监管效能、优化营商环境的重要作用，进一步加强组织领导和统筹协调，健全工作制度和运行机制，细化工作目标和推进举措，确保全年各项工作任务落到实处、取得实效，为进一步优化营商环境做出积极贡献。</w:t>
      </w:r>
    </w:p>
    <w:p>
      <w:pPr>
        <w:spacing w:line="560" w:lineRule="exact"/>
        <w:ind w:firstLine="643" w:firstLineChars="200"/>
        <w:contextualSpacing/>
        <w:rPr>
          <w:rFonts w:hint="eastAsia" w:ascii="仿宋_GB2312" w:hAnsi="仿宋" w:eastAsia="仿宋_GB2312"/>
          <w:sz w:val="32"/>
          <w:szCs w:val="32"/>
        </w:rPr>
      </w:pPr>
      <w:r>
        <w:rPr>
          <w:rFonts w:hint="eastAsia" w:ascii="楷体_GB2312" w:eastAsia="楷体_GB2312"/>
          <w:b/>
          <w:color w:val="000000"/>
          <w:kern w:val="60"/>
          <w:sz w:val="32"/>
          <w:szCs w:val="32"/>
        </w:rPr>
        <w:t>（二）认真履职尽责，积极主动作为。</w:t>
      </w:r>
      <w:r>
        <w:rPr>
          <w:rFonts w:hint="eastAsia" w:ascii="仿宋_GB2312" w:hAnsi="仿宋" w:eastAsia="仿宋_GB2312"/>
          <w:sz w:val="32"/>
          <w:szCs w:val="32"/>
        </w:rPr>
        <w:t>要切实落实主体责任，打破惯性思维、强化大局意识，认真履职尽责，积极主动开展工作，牢固树立“一盘棋”思想，相互支持、密切配合、协同促进，合力推进各项工作任务落实。进一步增强责任意识，大力推广“双随机、一公开”抽查，公平、有效、透明地进行事中事后监督，切实履行法定监管职能。</w:t>
      </w:r>
    </w:p>
    <w:p>
      <w:pPr>
        <w:pStyle w:val="4"/>
        <w:spacing w:before="0" w:beforeAutospacing="0" w:after="0" w:afterAutospacing="0" w:line="560" w:lineRule="exact"/>
        <w:ind w:left="0" w:right="23" w:rightChars="11" w:firstLine="643" w:firstLineChars="200"/>
        <w:contextualSpacing/>
        <w:rPr>
          <w:rFonts w:hint="eastAsia" w:ascii="仿宋_GB2312" w:hAnsi="仿宋" w:eastAsia="仿宋_GB2312" w:cs="Times New Roman"/>
        </w:rPr>
      </w:pPr>
      <w:r>
        <w:rPr>
          <w:rFonts w:hint="eastAsia" w:ascii="楷体_GB2312" w:eastAsia="楷体_GB2312"/>
          <w:b/>
          <w:color w:val="000000"/>
          <w:kern w:val="60"/>
        </w:rPr>
        <w:t>（三）落实主体责任，强化指导监管。</w:t>
      </w:r>
      <w:r>
        <w:rPr>
          <w:rFonts w:hint="eastAsia" w:ascii="仿宋_GB2312" w:hAnsi="仿宋" w:eastAsia="仿宋_GB2312"/>
        </w:rPr>
        <w:t>强化对随机抽查工作全流程的管控，积极推行随机抽查回访机制，着力提升随机抽查工作效能。切实压实规范管理责任，严格按照《国务院办公厅关于严格规范涉企行政检查的意见》（国办发[2024]54号）中“五个严禁”、“八个不得”的要求开展抽查，防止企业反映强烈、社会影响恶劣事件的发生。</w:t>
      </w:r>
    </w:p>
    <w:p>
      <w:pPr>
        <w:pStyle w:val="4"/>
        <w:spacing w:before="0" w:beforeAutospacing="0" w:after="0" w:afterAutospacing="0" w:line="560" w:lineRule="exact"/>
        <w:ind w:left="4791" w:leftChars="1672" w:hanging="1280" w:hangingChars="400"/>
        <w:contextualSpacing/>
        <w:rPr>
          <w:rFonts w:hint="eastAsia" w:ascii="Times New Roman" w:eastAsia="黑体" w:cs="Times New Roman"/>
        </w:rPr>
      </w:pPr>
      <w:r>
        <w:rPr>
          <w:rFonts w:hint="eastAsia" w:ascii="Times New Roman" w:eastAsia="黑体" w:cs="Times New Roman"/>
        </w:rPr>
        <w:t xml:space="preserve"> </w:t>
      </w:r>
    </w:p>
    <w:p>
      <w:pPr>
        <w:pStyle w:val="4"/>
        <w:spacing w:before="0" w:beforeAutospacing="0" w:after="0" w:afterAutospacing="0" w:line="560" w:lineRule="exact"/>
        <w:ind w:left="4791" w:leftChars="1672" w:hanging="1280" w:hangingChars="400"/>
        <w:contextualSpacing/>
        <w:rPr>
          <w:rFonts w:hint="eastAsia" w:ascii="Times New Roman" w:eastAsia="黑体" w:cs="Times New Roman"/>
        </w:rPr>
      </w:pPr>
      <w:r>
        <w:rPr>
          <w:rFonts w:hint="eastAsia" w:ascii="Times New Roman" w:eastAsia="黑体" w:cs="Times New Roman"/>
        </w:rPr>
        <w:t xml:space="preserve"> </w:t>
      </w:r>
    </w:p>
    <w:p>
      <w:pPr>
        <w:adjustRightInd w:val="0"/>
        <w:snapToGrid w:val="0"/>
        <w:spacing w:line="560" w:lineRule="exact"/>
        <w:jc w:val="center"/>
        <w:rPr>
          <w:rFonts w:hint="eastAsia" w:ascii="方正小标宋简体" w:hAnsi="宋体" w:eastAsia="方正小标宋简体"/>
          <w:b/>
          <w:bCs/>
          <w:color w:val="000000"/>
          <w:spacing w:val="20"/>
          <w:sz w:val="44"/>
          <w:szCs w:val="44"/>
        </w:rPr>
      </w:pPr>
    </w:p>
    <w:p>
      <w:pPr>
        <w:spacing w:line="560" w:lineRule="exact"/>
        <w:jc w:val="center"/>
        <w:rPr>
          <w:rFonts w:hint="eastAsia" w:ascii="方正小标宋简体" w:hAnsi="宋体" w:eastAsia="方正小标宋简体"/>
          <w:b/>
          <w:bCs/>
          <w:sz w:val="44"/>
          <w:szCs w:val="44"/>
        </w:rPr>
      </w:pPr>
    </w:p>
    <w:p>
      <w:pPr>
        <w:pStyle w:val="2"/>
      </w:pPr>
    </w:p>
    <w:p>
      <w:pPr>
        <w:ind w:firstLine="3200" w:firstLineChars="1000"/>
        <w:rPr>
          <w:rFonts w:ascii="仿宋_GB2312" w:hAnsi="仿宋" w:eastAsia="仿宋_GB2312"/>
          <w:sz w:val="32"/>
          <w:szCs w:val="32"/>
        </w:rPr>
      </w:pPr>
      <w:r>
        <w:rPr>
          <w:rFonts w:hint="eastAsia" w:ascii="仿宋_GB2312" w:hAnsi="仿宋" w:eastAsia="仿宋_GB2312"/>
          <w:sz w:val="32"/>
          <w:szCs w:val="32"/>
        </w:rPr>
        <w:t xml:space="preserve">          高阳县住房和城乡建设局</w:t>
      </w:r>
    </w:p>
    <w:p>
      <w:pPr>
        <w:rPr>
          <w:rFonts w:ascii="仿宋_GB2312" w:hAnsi="仿宋" w:eastAsia="仿宋_GB2312"/>
          <w:sz w:val="32"/>
          <w:szCs w:val="32"/>
        </w:rPr>
      </w:pPr>
      <w:r>
        <w:rPr>
          <w:rFonts w:hint="eastAsia" w:ascii="仿宋_GB2312" w:hAnsi="仿宋" w:eastAsia="仿宋_GB2312"/>
          <w:sz w:val="32"/>
          <w:szCs w:val="32"/>
        </w:rPr>
        <w:t xml:space="preserve">                                 2025年3月26日</w:t>
      </w:r>
    </w:p>
    <w:sectPr>
      <w:pgSz w:w="11906" w:h="16838"/>
      <w:pgMar w:top="1984" w:right="1587"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18"/>
    <w:rsid w:val="00015FCF"/>
    <w:rsid w:val="000C436A"/>
    <w:rsid w:val="00325D5C"/>
    <w:rsid w:val="004417DF"/>
    <w:rsid w:val="005E27A8"/>
    <w:rsid w:val="006D3DB6"/>
    <w:rsid w:val="007C46A1"/>
    <w:rsid w:val="008E195D"/>
    <w:rsid w:val="00996F20"/>
    <w:rsid w:val="009E1969"/>
    <w:rsid w:val="00BA221C"/>
    <w:rsid w:val="00D16343"/>
    <w:rsid w:val="00DC2B18"/>
    <w:rsid w:val="00F8416E"/>
    <w:rsid w:val="24BB3E99"/>
    <w:rsid w:val="56EA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4"/>
    <w:qFormat/>
    <w:uiPriority w:val="99"/>
    <w:pPr>
      <w:spacing w:before="100" w:beforeAutospacing="1" w:after="100" w:afterAutospacing="1"/>
      <w:ind w:left="115"/>
      <w:outlineLvl w:val="0"/>
    </w:pPr>
    <w:rPr>
      <w:rFonts w:ascii="宋体" w:cs="宋体"/>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firstLine="1600" w:firstLineChars="500"/>
    </w:pPr>
    <w:rPr>
      <w:rFonts w:ascii="仿宋" w:hAnsi="仿宋" w:eastAsia="仿宋"/>
      <w:sz w:val="32"/>
      <w:szCs w:val="32"/>
    </w:rPr>
  </w:style>
  <w:style w:type="paragraph" w:styleId="4">
    <w:name w:val="Body Text"/>
    <w:basedOn w:val="1"/>
    <w:link w:val="15"/>
    <w:unhideWhenUsed/>
    <w:uiPriority w:val="99"/>
    <w:pPr>
      <w:spacing w:before="100" w:beforeAutospacing="1" w:after="100" w:afterAutospacing="1"/>
      <w:ind w:left="108"/>
    </w:pPr>
    <w:rPr>
      <w:rFonts w:ascii="宋体" w:cs="宋体"/>
      <w:sz w:val="32"/>
      <w:szCs w:val="32"/>
    </w:rPr>
  </w:style>
  <w:style w:type="paragraph" w:styleId="5">
    <w:name w:val="Plain Text"/>
    <w:basedOn w:val="1"/>
    <w:link w:val="11"/>
    <w:qFormat/>
    <w:uiPriority w:val="0"/>
    <w:pPr>
      <w:widowControl/>
      <w:spacing w:before="100" w:beforeAutospacing="1" w:after="100" w:afterAutospacing="1"/>
      <w:jc w:val="left"/>
    </w:pPr>
    <w:rPr>
      <w:rFonts w:ascii="宋体" w:hAnsi="宋体"/>
      <w:kern w:val="0"/>
      <w:sz w:val="24"/>
      <w:szCs w:val="24"/>
    </w:rPr>
  </w:style>
  <w:style w:type="paragraph" w:styleId="6">
    <w:name w:val="footer"/>
    <w:basedOn w:val="1"/>
    <w:link w:val="13"/>
    <w:semiHidden/>
    <w:unhideWhenUsed/>
    <w:uiPriority w:val="99"/>
    <w:pPr>
      <w:tabs>
        <w:tab w:val="center" w:pos="4153"/>
        <w:tab w:val="right" w:pos="8306"/>
      </w:tabs>
      <w:snapToGrid w:val="0"/>
      <w:jc w:val="left"/>
    </w:pPr>
    <w:rPr>
      <w:sz w:val="18"/>
      <w:szCs w:val="18"/>
    </w:rPr>
  </w:style>
  <w:style w:type="paragraph" w:styleId="7">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szCs w:val="24"/>
    </w:rPr>
  </w:style>
  <w:style w:type="character" w:customStyle="1" w:styleId="11">
    <w:name w:val="纯文本 Char"/>
    <w:basedOn w:val="10"/>
    <w:link w:val="5"/>
    <w:uiPriority w:val="0"/>
    <w:rPr>
      <w:rFonts w:ascii="宋体" w:hAnsi="宋体" w:eastAsia="宋体" w:cs="Times New Roman"/>
      <w:kern w:val="0"/>
      <w:sz w:val="24"/>
      <w:szCs w:val="24"/>
    </w:rPr>
  </w:style>
  <w:style w:type="character" w:customStyle="1" w:styleId="12">
    <w:name w:val="页眉 Char"/>
    <w:basedOn w:val="10"/>
    <w:link w:val="7"/>
    <w:semiHidden/>
    <w:uiPriority w:val="99"/>
    <w:rPr>
      <w:rFonts w:ascii="Times New Roman" w:hAnsi="Times New Roman" w:eastAsia="宋体" w:cs="Times New Roman"/>
      <w:sz w:val="18"/>
      <w:szCs w:val="18"/>
    </w:rPr>
  </w:style>
  <w:style w:type="character" w:customStyle="1" w:styleId="13">
    <w:name w:val="页脚 Char"/>
    <w:basedOn w:val="10"/>
    <w:link w:val="6"/>
    <w:semiHidden/>
    <w:uiPriority w:val="99"/>
    <w:rPr>
      <w:rFonts w:ascii="Times New Roman" w:hAnsi="Times New Roman" w:eastAsia="宋体" w:cs="Times New Roman"/>
      <w:sz w:val="18"/>
      <w:szCs w:val="18"/>
    </w:rPr>
  </w:style>
  <w:style w:type="character" w:customStyle="1" w:styleId="14">
    <w:name w:val="标题 1 Char"/>
    <w:basedOn w:val="10"/>
    <w:link w:val="3"/>
    <w:uiPriority w:val="99"/>
    <w:rPr>
      <w:rFonts w:ascii="宋体" w:hAnsi="Times New Roman" w:eastAsia="宋体" w:cs="宋体"/>
      <w:sz w:val="44"/>
      <w:szCs w:val="44"/>
    </w:rPr>
  </w:style>
  <w:style w:type="character" w:customStyle="1" w:styleId="15">
    <w:name w:val="正文文本 Char"/>
    <w:basedOn w:val="10"/>
    <w:link w:val="4"/>
    <w:uiPriority w:val="99"/>
    <w:rPr>
      <w:rFonts w:ascii="宋体" w:hAnsi="Times New Roman" w:eastAsia="宋体" w:cs="宋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1495</Words>
  <Characters>1516</Characters>
  <Lines>11</Lines>
  <Paragraphs>3</Paragraphs>
  <TotalTime>13</TotalTime>
  <ScaleCrop>false</ScaleCrop>
  <LinksUpToDate>false</LinksUpToDate>
  <CharactersWithSpaces>1581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2025-03-04T07:01:00Z</dcterms:created>
  <dc:creator>Administrator</dc:creator>
  <cp:lastModifiedBy>Administratorgy0312</cp:lastModifiedBy>
  <dcterms:modified xsi:type="dcterms:W3CDTF">2025-03-31T07:49:53Z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6174A3065573487B9255A4E6FD4F96B4_13</vt:lpwstr>
  </property>
</Properties>
</file>