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2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4"/>
        <w:gridCol w:w="1676"/>
      </w:tblGrid>
      <w:tr w14:paraId="4C1E1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4" w:type="dxa"/>
            <w:noWrap w:val="0"/>
            <w:vAlign w:val="top"/>
          </w:tcPr>
          <w:p w14:paraId="3DA30995">
            <w:pPr>
              <w:jc w:val="distribute"/>
              <w:rPr>
                <w:rFonts w:hint="eastAsia" w:ascii="黑体" w:hAnsi="黑体" w:eastAsia="黑体" w:cs="黑体"/>
                <w:bCs/>
                <w:color w:val="FF0000"/>
                <w:sz w:val="72"/>
                <w:szCs w:val="72"/>
              </w:rPr>
            </w:pPr>
            <w:r>
              <w:rPr>
                <w:rFonts w:hint="eastAsia" w:ascii="黑体" w:hAnsi="黑体" w:eastAsia="黑体" w:cs="黑体"/>
                <w:b/>
                <w:color w:val="FF0000"/>
                <w:sz w:val="56"/>
                <w:szCs w:val="56"/>
              </w:rPr>
              <w:t>高阳县</w:t>
            </w:r>
            <w:r>
              <w:rPr>
                <w:rFonts w:hint="eastAsia" w:ascii="黑体" w:hAnsi="黑体" w:eastAsia="黑体" w:cs="黑体"/>
                <w:b/>
                <w:color w:val="FF0000"/>
                <w:sz w:val="56"/>
                <w:szCs w:val="56"/>
                <w:lang w:val="en-US" w:eastAsia="zh-CN"/>
              </w:rPr>
              <w:t>文化广电和旅游</w:t>
            </w:r>
            <w:r>
              <w:rPr>
                <w:rFonts w:hint="eastAsia" w:ascii="黑体" w:hAnsi="黑体" w:eastAsia="黑体" w:cs="黑体"/>
                <w:b/>
                <w:color w:val="FF0000"/>
                <w:sz w:val="56"/>
                <w:szCs w:val="56"/>
              </w:rPr>
              <w:t>局</w:t>
            </w:r>
          </w:p>
        </w:tc>
        <w:tc>
          <w:tcPr>
            <w:tcW w:w="1676" w:type="dxa"/>
            <w:vMerge w:val="restart"/>
            <w:noWrap w:val="0"/>
            <w:vAlign w:val="center"/>
          </w:tcPr>
          <w:p w14:paraId="2C7C1CC9">
            <w:pPr>
              <w:jc w:val="center"/>
              <w:rPr>
                <w:rFonts w:hint="eastAsia" w:ascii="黑体" w:hAnsi="黑体" w:eastAsia="黑体" w:cs="黑体"/>
                <w:b/>
                <w:sz w:val="72"/>
                <w:szCs w:val="72"/>
              </w:rPr>
            </w:pPr>
            <w:r>
              <w:rPr>
                <w:rFonts w:hint="eastAsia" w:ascii="黑体" w:hAnsi="黑体" w:eastAsia="黑体" w:cs="黑体"/>
                <w:b/>
                <w:color w:val="FF0000"/>
                <w:sz w:val="72"/>
                <w:szCs w:val="72"/>
              </w:rPr>
              <w:t>文件</w:t>
            </w:r>
          </w:p>
        </w:tc>
      </w:tr>
      <w:tr w14:paraId="1847D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4" w:type="dxa"/>
            <w:noWrap w:val="0"/>
            <w:vAlign w:val="top"/>
          </w:tcPr>
          <w:p w14:paraId="525F2701">
            <w:pPr>
              <w:jc w:val="distribute"/>
              <w:rPr>
                <w:rFonts w:hint="default" w:ascii="黑体" w:hAnsi="黑体" w:eastAsia="黑体" w:cs="黑体"/>
                <w:b/>
                <w:color w:val="FF0000"/>
                <w:sz w:val="56"/>
                <w:szCs w:val="56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FF0000"/>
                <w:sz w:val="56"/>
                <w:szCs w:val="56"/>
                <w:lang w:val="en-US" w:eastAsia="zh-CN"/>
              </w:rPr>
              <w:t>高阳县公安局</w:t>
            </w:r>
          </w:p>
        </w:tc>
        <w:tc>
          <w:tcPr>
            <w:tcW w:w="1676" w:type="dxa"/>
            <w:vMerge w:val="continue"/>
            <w:noWrap w:val="0"/>
            <w:vAlign w:val="top"/>
          </w:tcPr>
          <w:p w14:paraId="08E6643D">
            <w:pPr>
              <w:rPr>
                <w:rFonts w:hint="eastAsia" w:ascii="黑体" w:hAnsi="黑体" w:eastAsia="黑体" w:cs="黑体"/>
                <w:sz w:val="40"/>
                <w:szCs w:val="40"/>
              </w:rPr>
            </w:pPr>
          </w:p>
        </w:tc>
      </w:tr>
    </w:tbl>
    <w:p w14:paraId="563EC42D">
      <w:pPr>
        <w:rPr>
          <w:rFonts w:hint="eastAsia" w:ascii="仿宋_GB2312" w:hAnsi="方正小标宋简体" w:eastAsia="仿宋_GB2312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 xml:space="preserve">          </w:t>
      </w:r>
    </w:p>
    <w:p w14:paraId="3D771584"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文广旅联</w:t>
      </w:r>
      <w:r>
        <w:rPr>
          <w:rFonts w:hint="eastAsia" w:ascii="仿宋" w:hAnsi="仿宋" w:eastAsia="仿宋"/>
          <w:sz w:val="32"/>
          <w:szCs w:val="32"/>
        </w:rPr>
        <w:t>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号</w:t>
      </w:r>
    </w:p>
    <w:p w14:paraId="53DB8F9A">
      <w:pPr>
        <w:spacing w:line="580" w:lineRule="atLeast"/>
        <w:rPr>
          <w:rFonts w:hint="eastAsia" w:ascii="宋体" w:hAnsi="宋体"/>
          <w:sz w:val="32"/>
          <w:szCs w:val="32"/>
        </w:rPr>
      </w:pPr>
    </w:p>
    <w:p w14:paraId="7F55ED15">
      <w:pPr>
        <w:spacing w:line="580" w:lineRule="atLeas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43180</wp:posOffset>
                </wp:positionV>
                <wp:extent cx="5723890" cy="0"/>
                <wp:effectExtent l="0" t="9525" r="10160" b="9525"/>
                <wp:wrapNone/>
                <wp:docPr id="1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32" type="#_x0000_t32" style="position:absolute;left:0pt;margin-left:-2.1pt;margin-top:3.4pt;height:0pt;width:450.7pt;z-index:251659264;mso-width-relative:page;mso-height-relative:page;" filled="f" stroked="t" coordsize="21600,21600" o:gfxdata="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mokM/UAAAABgEAAA8AAAAAAAAAAQAgAAAAIgAAAGRycy9kb3ducmV2LnhtbFBLAQIU&#10;ABQAAAAIAIdO4kDfSZOL9wEAAOQDAAAOAAAAAAAAAAEAIAAAACMBAABkcnMvZTJvRG9jLnhtbFBL&#10;BQYAAAAABgAGAFkBAACMBQAAAAA=&#10;">
                <v:fill on="f" focussize="0,0"/>
                <v:stroke weight="1.5pt" color="#FF0000" joinstyle="round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6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0"/>
      </w:tblGrid>
      <w:tr w14:paraId="7F828BA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0" w:type="dxa"/>
            <w:noWrap w:val="0"/>
            <w:vAlign w:val="top"/>
          </w:tcPr>
          <w:p w14:paraId="5E935CBB">
            <w:pPr>
              <w:autoSpaceDE w:val="0"/>
              <w:autoSpaceDN w:val="0"/>
              <w:spacing w:before="100" w:line="440" w:lineRule="exact"/>
              <w:jc w:val="distribute"/>
              <w:rPr>
                <w:rFonts w:hint="eastAsia"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 w:val="44"/>
                <w:szCs w:val="44"/>
                <w:lang w:val="zh-CN"/>
              </w:rPr>
              <w:t>高阳县</w:t>
            </w:r>
            <w:r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  <w:t>文化广电和旅游</w:t>
            </w:r>
            <w:r>
              <w:rPr>
                <w:rFonts w:hint="eastAsia" w:ascii="宋体" w:hAnsi="宋体" w:eastAsia="宋体" w:cs="宋体"/>
                <w:sz w:val="44"/>
                <w:szCs w:val="44"/>
                <w:lang w:val="zh-CN"/>
              </w:rPr>
              <w:t>局</w:t>
            </w:r>
          </w:p>
        </w:tc>
      </w:tr>
      <w:tr w14:paraId="386DD10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0" w:type="dxa"/>
            <w:noWrap w:val="0"/>
            <w:vAlign w:val="top"/>
          </w:tcPr>
          <w:p w14:paraId="42E5D8F2">
            <w:pPr>
              <w:autoSpaceDE w:val="0"/>
              <w:autoSpaceDN w:val="0"/>
              <w:spacing w:before="100" w:line="440" w:lineRule="exact"/>
              <w:jc w:val="distribute"/>
              <w:rPr>
                <w:rFonts w:hint="default" w:ascii="宋体" w:hAnsi="宋体" w:eastAsia="宋体" w:cs="宋体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  <w:t>高阳县</w:t>
            </w:r>
            <w:r>
              <w:rPr>
                <w:rFonts w:hint="eastAsia" w:ascii="宋体" w:hAnsi="宋体" w:cs="宋体"/>
                <w:sz w:val="44"/>
                <w:szCs w:val="44"/>
                <w:lang w:val="en-US" w:eastAsia="zh-CN"/>
              </w:rPr>
              <w:t>公安</w:t>
            </w:r>
            <w:r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  <w:t>局</w:t>
            </w:r>
          </w:p>
          <w:p w14:paraId="5F0970CC">
            <w:pPr>
              <w:autoSpaceDE w:val="0"/>
              <w:autoSpaceDN w:val="0"/>
              <w:spacing w:before="100" w:line="440" w:lineRule="exact"/>
              <w:jc w:val="distribute"/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</w:pPr>
          </w:p>
        </w:tc>
      </w:tr>
    </w:tbl>
    <w:p w14:paraId="488E6A8F">
      <w:pPr>
        <w:spacing w:line="560" w:lineRule="atLeas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关于开展高阳县</w:t>
      </w:r>
      <w:r>
        <w:rPr>
          <w:rFonts w:hint="eastAsia" w:ascii="宋体" w:hAnsi="宋体" w:cs="宋体"/>
          <w:sz w:val="44"/>
          <w:szCs w:val="44"/>
          <w:lang w:val="en-US" w:eastAsia="zh-CN"/>
        </w:rPr>
        <w:t>文化市场</w:t>
      </w:r>
      <w:r>
        <w:rPr>
          <w:rFonts w:hint="eastAsia" w:ascii="宋体" w:hAnsi="宋体" w:eastAsia="宋体" w:cs="宋体"/>
          <w:sz w:val="44"/>
          <w:szCs w:val="44"/>
        </w:rPr>
        <w:t>领域 “双随机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宋体" w:hAnsi="宋体" w:eastAsia="宋体" w:cs="宋体"/>
          <w:sz w:val="44"/>
          <w:szCs w:val="44"/>
        </w:rPr>
        <w:t>一公开”部门联合抽查监管工作的通知</w:t>
      </w:r>
    </w:p>
    <w:p w14:paraId="0116E071">
      <w:pPr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</w:p>
    <w:p w14:paraId="249A05BA">
      <w:pPr>
        <w:spacing w:line="560" w:lineRule="atLeast"/>
        <w:jc w:val="left"/>
        <w:rPr>
          <w:rFonts w:hint="eastAsia" w:ascii="仿宋" w:hAnsi="仿宋" w:eastAsia="仿宋"/>
          <w:sz w:val="32"/>
          <w:szCs w:val="32"/>
        </w:rPr>
      </w:pPr>
    </w:p>
    <w:p w14:paraId="45C2499C">
      <w:pPr>
        <w:spacing w:line="560" w:lineRule="atLeas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各相关单位：</w:t>
      </w:r>
    </w:p>
    <w:p w14:paraId="20978AF1">
      <w:pPr>
        <w:spacing w:line="560" w:lineRule="atLeast"/>
        <w:ind w:firstLine="64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为认真贯彻落实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《202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年保定市“双随机、一公开”监管工作实施方案》</w:t>
      </w:r>
      <w:r>
        <w:rPr>
          <w:rFonts w:hint="eastAsia" w:ascii="仿宋" w:hAnsi="仿宋" w:eastAsia="仿宋" w:cs="仿宋"/>
          <w:sz w:val="32"/>
          <w:szCs w:val="32"/>
        </w:rPr>
        <w:t>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《202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年高阳县“双随机、一公开”监管工作实施方案》、《高阳县202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年度双随机抽查工作计划》</w:t>
      </w:r>
      <w:r>
        <w:rPr>
          <w:rFonts w:hint="eastAsia" w:ascii="仿宋" w:hAnsi="仿宋" w:eastAsia="仿宋" w:cs="仿宋"/>
          <w:sz w:val="32"/>
          <w:szCs w:val="32"/>
        </w:rPr>
        <w:t>的要求，进一步推进“双随机、一公开”监管工作持续、广泛、深入地开展，结合工作实际，决定由高阳县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文化广电和旅游</w:t>
      </w:r>
      <w:r>
        <w:rPr>
          <w:rFonts w:hint="eastAsia" w:ascii="仿宋" w:hAnsi="仿宋" w:eastAsia="仿宋" w:cs="仿宋"/>
          <w:sz w:val="32"/>
          <w:szCs w:val="32"/>
        </w:rPr>
        <w:t>局牵头自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月起开展202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年度高阳县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文化市场</w:t>
      </w:r>
      <w:r>
        <w:rPr>
          <w:rFonts w:hint="eastAsia" w:ascii="仿宋" w:hAnsi="仿宋" w:eastAsia="仿宋" w:cs="仿宋"/>
          <w:sz w:val="32"/>
          <w:szCs w:val="32"/>
        </w:rPr>
        <w:t>领域“双随机、一公开”部门联合抽查工作，请依据《关于开展高阳县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文化市场</w:t>
      </w:r>
      <w:r>
        <w:rPr>
          <w:rFonts w:hint="eastAsia" w:ascii="仿宋" w:hAnsi="仿宋" w:eastAsia="仿宋" w:cs="仿宋"/>
          <w:sz w:val="32"/>
          <w:szCs w:val="32"/>
        </w:rPr>
        <w:t>领域“双随机、一公开”部门联合抽查监管工作的实施方案》开展工作。</w:t>
      </w:r>
    </w:p>
    <w:p w14:paraId="6CF8C94A">
      <w:pPr>
        <w:spacing w:line="560" w:lineRule="atLeast"/>
        <w:ind w:firstLine="645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33093B5A">
      <w:pPr>
        <w:spacing w:line="560" w:lineRule="atLeast"/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  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文化广电和旅游</w:t>
      </w:r>
      <w:r>
        <w:rPr>
          <w:rFonts w:hint="eastAsia" w:ascii="仿宋" w:hAnsi="仿宋" w:eastAsia="仿宋" w:cs="仿宋"/>
          <w:sz w:val="32"/>
          <w:szCs w:val="32"/>
        </w:rPr>
        <w:t>局      电话  66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99865</w:t>
      </w:r>
    </w:p>
    <w:p w14:paraId="0418A08A">
      <w:pPr>
        <w:spacing w:line="560" w:lineRule="atLeast"/>
        <w:ind w:firstLine="2560" w:firstLineChars="8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公安局 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 xml:space="preserve">  电话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6623723</w:t>
      </w:r>
    </w:p>
    <w:p w14:paraId="51519C2D">
      <w:pPr>
        <w:spacing w:line="560" w:lineRule="atLeas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</w:t>
      </w:r>
    </w:p>
    <w:p w14:paraId="3B6D95A2">
      <w:pPr>
        <w:spacing w:line="560" w:lineRule="atLeas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关于开展高阳县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文化市场</w:t>
      </w:r>
      <w:r>
        <w:rPr>
          <w:rFonts w:hint="eastAsia" w:ascii="仿宋" w:hAnsi="仿宋" w:eastAsia="仿宋" w:cs="仿宋"/>
          <w:sz w:val="32"/>
          <w:szCs w:val="32"/>
        </w:rPr>
        <w:t>领域 “双随机、一公开”部门联合抽查监管工作实施方案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</w:p>
    <w:p w14:paraId="7127F2C4">
      <w:pPr>
        <w:spacing w:line="560" w:lineRule="atLeast"/>
        <w:jc w:val="left"/>
        <w:rPr>
          <w:rFonts w:hint="eastAsia" w:ascii="仿宋" w:hAnsi="仿宋" w:eastAsia="仿宋"/>
          <w:sz w:val="32"/>
          <w:szCs w:val="32"/>
        </w:rPr>
      </w:pPr>
    </w:p>
    <w:p w14:paraId="6A1BE2B1">
      <w:pPr>
        <w:spacing w:line="560" w:lineRule="atLeast"/>
        <w:jc w:val="left"/>
        <w:rPr>
          <w:rFonts w:hint="eastAsia" w:ascii="仿宋" w:hAnsi="仿宋" w:eastAsia="仿宋"/>
          <w:sz w:val="32"/>
          <w:szCs w:val="32"/>
        </w:rPr>
      </w:pPr>
    </w:p>
    <w:p w14:paraId="347EEB1E">
      <w:pPr>
        <w:spacing w:line="560" w:lineRule="atLeast"/>
        <w:jc w:val="left"/>
        <w:rPr>
          <w:rFonts w:hint="eastAsia" w:ascii="仿宋" w:hAnsi="仿宋" w:eastAsia="仿宋"/>
          <w:sz w:val="32"/>
          <w:szCs w:val="32"/>
        </w:rPr>
      </w:pPr>
    </w:p>
    <w:p w14:paraId="3EDE69A2">
      <w:pPr>
        <w:spacing w:line="560" w:lineRule="atLeas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高阳县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文化广电和旅游</w:t>
      </w:r>
      <w:r>
        <w:rPr>
          <w:rFonts w:hint="eastAsia" w:ascii="仿宋" w:hAnsi="仿宋" w:eastAsia="仿宋"/>
          <w:sz w:val="32"/>
          <w:szCs w:val="32"/>
        </w:rPr>
        <w:t xml:space="preserve">局               </w:t>
      </w:r>
    </w:p>
    <w:p w14:paraId="759EC40D">
      <w:pPr>
        <w:spacing w:line="560" w:lineRule="atLeast"/>
        <w:jc w:val="left"/>
        <w:rPr>
          <w:rFonts w:hint="eastAsia" w:ascii="仿宋" w:hAnsi="仿宋" w:eastAsia="仿宋"/>
          <w:sz w:val="32"/>
          <w:szCs w:val="32"/>
        </w:rPr>
      </w:pPr>
    </w:p>
    <w:p w14:paraId="2C41B3A6">
      <w:pPr>
        <w:spacing w:line="560" w:lineRule="atLeast"/>
        <w:jc w:val="left"/>
        <w:rPr>
          <w:rFonts w:hint="eastAsia" w:ascii="仿宋" w:hAnsi="仿宋" w:eastAsia="仿宋"/>
          <w:sz w:val="32"/>
          <w:szCs w:val="32"/>
        </w:rPr>
      </w:pPr>
    </w:p>
    <w:p w14:paraId="7DD7FC58">
      <w:pPr>
        <w:spacing w:line="560" w:lineRule="atLeas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高阳县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公安局</w:t>
      </w:r>
      <w:r>
        <w:rPr>
          <w:rFonts w:hint="eastAsia" w:ascii="仿宋" w:hAnsi="仿宋" w:eastAsia="仿宋"/>
          <w:sz w:val="32"/>
          <w:szCs w:val="32"/>
        </w:rPr>
        <w:t xml:space="preserve">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</w:t>
      </w:r>
    </w:p>
    <w:p w14:paraId="37787F14">
      <w:pPr>
        <w:spacing w:line="560" w:lineRule="atLeast"/>
        <w:jc w:val="left"/>
        <w:rPr>
          <w:rFonts w:hint="eastAsia" w:ascii="仿宋" w:hAnsi="仿宋" w:eastAsia="仿宋"/>
          <w:sz w:val="32"/>
          <w:szCs w:val="32"/>
        </w:rPr>
      </w:pPr>
    </w:p>
    <w:p w14:paraId="2CFCE846">
      <w:pPr>
        <w:spacing w:line="560" w:lineRule="atLeast"/>
        <w:jc w:val="left"/>
        <w:rPr>
          <w:rFonts w:hint="eastAsia" w:ascii="仿宋" w:hAnsi="仿宋" w:eastAsia="仿宋"/>
          <w:sz w:val="32"/>
          <w:szCs w:val="32"/>
        </w:rPr>
      </w:pPr>
    </w:p>
    <w:p w14:paraId="665C3B01">
      <w:pPr>
        <w:spacing w:line="560" w:lineRule="atLeas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67CDD968">
      <w:pPr>
        <w:rPr>
          <w:rFonts w:hint="eastAsia" w:ascii="仿宋" w:hAnsi="仿宋" w:eastAsia="仿宋"/>
          <w:bCs/>
          <w:sz w:val="32"/>
          <w:szCs w:val="32"/>
        </w:rPr>
      </w:pPr>
    </w:p>
    <w:p w14:paraId="75710A39">
      <w:pPr>
        <w:spacing w:line="560" w:lineRule="exact"/>
        <w:rPr>
          <w:rFonts w:hint="eastAsia" w:ascii="仿宋" w:hAnsi="仿宋" w:eastAsia="仿宋"/>
          <w:bCs/>
          <w:sz w:val="32"/>
          <w:szCs w:val="32"/>
        </w:rPr>
      </w:pPr>
    </w:p>
    <w:p w14:paraId="7003291B">
      <w:pPr>
        <w:spacing w:line="560" w:lineRule="exact"/>
        <w:rPr>
          <w:rFonts w:hint="eastAsia" w:ascii="仿宋" w:hAnsi="仿宋" w:eastAsia="仿宋"/>
          <w:bCs/>
          <w:sz w:val="32"/>
          <w:szCs w:val="32"/>
        </w:rPr>
      </w:pPr>
    </w:p>
    <w:p w14:paraId="73862E02">
      <w:pPr>
        <w:spacing w:line="560" w:lineRule="exact"/>
        <w:rPr>
          <w:rFonts w:hint="eastAsia" w:ascii="仿宋" w:hAnsi="仿宋" w:eastAsia="仿宋"/>
          <w:bCs/>
          <w:sz w:val="32"/>
          <w:szCs w:val="32"/>
        </w:rPr>
      </w:pPr>
    </w:p>
    <w:p w14:paraId="181415F0">
      <w:pPr>
        <w:spacing w:line="560" w:lineRule="exact"/>
        <w:rPr>
          <w:rFonts w:hint="eastAsia" w:ascii="仿宋" w:hAnsi="仿宋" w:eastAsia="仿宋"/>
          <w:bCs/>
          <w:sz w:val="32"/>
          <w:szCs w:val="32"/>
        </w:rPr>
      </w:pPr>
    </w:p>
    <w:p w14:paraId="6E6145D6">
      <w:pPr>
        <w:spacing w:line="560" w:lineRule="exact"/>
        <w:rPr>
          <w:rFonts w:hint="eastAsia" w:ascii="仿宋" w:hAnsi="仿宋" w:eastAsia="仿宋"/>
          <w:bCs/>
          <w:sz w:val="32"/>
          <w:szCs w:val="32"/>
        </w:rPr>
      </w:pPr>
    </w:p>
    <w:p w14:paraId="479A3DC6">
      <w:pPr>
        <w:spacing w:line="560" w:lineRule="exact"/>
        <w:rPr>
          <w:rFonts w:hint="eastAsia" w:ascii="仿宋" w:hAnsi="仿宋" w:eastAsia="仿宋"/>
          <w:bCs/>
          <w:sz w:val="32"/>
          <w:szCs w:val="32"/>
        </w:rPr>
      </w:pPr>
    </w:p>
    <w:p w14:paraId="3B43A091">
      <w:pPr>
        <w:spacing w:line="560" w:lineRule="exac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附件</w:t>
      </w:r>
    </w:p>
    <w:p w14:paraId="6AFA848E">
      <w:pPr>
        <w:spacing w:line="560" w:lineRule="exact"/>
        <w:rPr>
          <w:rFonts w:hint="eastAsia" w:ascii="仿宋" w:hAnsi="仿宋" w:eastAsia="仿宋"/>
          <w:bCs/>
          <w:sz w:val="32"/>
          <w:szCs w:val="32"/>
        </w:rPr>
      </w:pPr>
    </w:p>
    <w:p w14:paraId="52544962">
      <w:pPr>
        <w:spacing w:line="560" w:lineRule="exact"/>
        <w:jc w:val="center"/>
        <w:rPr>
          <w:rFonts w:hint="eastAsia" w:ascii="宋体" w:hAnsi="宋体" w:eastAsia="宋体" w:cs="宋体"/>
          <w:bCs/>
          <w:sz w:val="44"/>
          <w:szCs w:val="44"/>
        </w:rPr>
      </w:pPr>
      <w:r>
        <w:rPr>
          <w:rFonts w:hint="eastAsia" w:ascii="宋体" w:hAnsi="宋体" w:eastAsia="宋体" w:cs="宋体"/>
          <w:bCs/>
          <w:sz w:val="44"/>
          <w:szCs w:val="44"/>
        </w:rPr>
        <w:t>关于开展高阳县</w:t>
      </w:r>
      <w:r>
        <w:rPr>
          <w:rFonts w:hint="eastAsia" w:ascii="宋体" w:hAnsi="宋体" w:cs="宋体"/>
          <w:bCs/>
          <w:sz w:val="44"/>
          <w:szCs w:val="44"/>
          <w:lang w:val="en-US" w:eastAsia="zh-CN"/>
        </w:rPr>
        <w:t>文化市场</w:t>
      </w:r>
      <w:r>
        <w:rPr>
          <w:rFonts w:hint="eastAsia" w:ascii="宋体" w:hAnsi="宋体" w:eastAsia="宋体" w:cs="宋体"/>
          <w:bCs/>
          <w:sz w:val="44"/>
          <w:szCs w:val="44"/>
        </w:rPr>
        <w:t>领域“双随机、一公开”部门联合抽查监管工作实施方案</w:t>
      </w:r>
    </w:p>
    <w:p w14:paraId="1A80FE92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3D49C1A5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为认真贯彻落实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《202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保定市“双随机、一公开”监管工作实施方案》</w:t>
      </w:r>
      <w:r>
        <w:rPr>
          <w:rFonts w:hint="eastAsia" w:ascii="仿宋" w:hAnsi="仿宋" w:eastAsia="仿宋" w:cs="仿宋"/>
          <w:sz w:val="32"/>
          <w:szCs w:val="32"/>
        </w:rPr>
        <w:t>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《202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高阳县“双随机、一公开”监管工作实施方案》、《高阳县202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度双随机抽查工作计划》</w:t>
      </w:r>
      <w:r>
        <w:rPr>
          <w:rFonts w:hint="eastAsia" w:ascii="仿宋" w:hAnsi="仿宋" w:eastAsia="仿宋" w:cs="仿宋"/>
          <w:sz w:val="32"/>
          <w:szCs w:val="32"/>
        </w:rPr>
        <w:t>的要求，进一步推进“双随机、一公开”监管工作持续、广泛、深入地开展，结合监管工作实际，高阳县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文化广电和旅游</w:t>
      </w:r>
      <w:r>
        <w:rPr>
          <w:rFonts w:hint="eastAsia" w:ascii="仿宋" w:hAnsi="仿宋" w:eastAsia="仿宋" w:cs="仿宋"/>
          <w:sz w:val="32"/>
          <w:szCs w:val="32"/>
        </w:rPr>
        <w:t>局决定牵头开展202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5年</w:t>
      </w:r>
      <w:r>
        <w:rPr>
          <w:rFonts w:hint="eastAsia" w:ascii="仿宋" w:hAnsi="仿宋" w:eastAsia="仿宋" w:cs="仿宋"/>
          <w:sz w:val="32"/>
          <w:szCs w:val="32"/>
        </w:rPr>
        <w:t>度高阳县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文化市场</w:t>
      </w:r>
      <w:r>
        <w:rPr>
          <w:rFonts w:hint="eastAsia" w:ascii="仿宋" w:hAnsi="仿宋" w:eastAsia="仿宋" w:cs="仿宋"/>
          <w:sz w:val="32"/>
          <w:szCs w:val="32"/>
        </w:rPr>
        <w:t>领域“双随机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、一公开</w:t>
      </w:r>
      <w:r>
        <w:rPr>
          <w:rFonts w:hint="eastAsia" w:ascii="仿宋" w:hAnsi="仿宋" w:eastAsia="仿宋" w:cs="仿宋"/>
          <w:sz w:val="32"/>
          <w:szCs w:val="32"/>
        </w:rPr>
        <w:t>”部门联合抽查工作，特制定方案如下：</w:t>
      </w:r>
    </w:p>
    <w:p w14:paraId="34760E41">
      <w:pPr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一、时间安排</w:t>
      </w:r>
    </w:p>
    <w:p w14:paraId="1C7A2AF3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3D01DA94">
      <w:pPr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二、随机抽查对象及比例</w:t>
      </w:r>
    </w:p>
    <w:p w14:paraId="0539D688"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2025年3月31日前登记设立、已成立状态的网吧、游艺厅（室）、舞厅、歌厅、夜总会等上网服务及娱乐场所；艺术品经营单位；艺术考级机构；文物购销拍卖经营单位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抽查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数量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11户。</w:t>
      </w:r>
      <w:bookmarkStart w:id="0" w:name="_GoBack"/>
      <w:bookmarkEnd w:id="0"/>
    </w:p>
    <w:p w14:paraId="12578DCB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抽查部门及内容</w:t>
      </w:r>
    </w:p>
    <w:p w14:paraId="5AB973FF">
      <w:pPr>
        <w:spacing w:line="560" w:lineRule="exact"/>
        <w:ind w:firstLine="640" w:firstLineChars="200"/>
        <w:rPr>
          <w:rFonts w:ascii="楷体" w:hAnsi="楷体" w:eastAsia="楷体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（一）</w:t>
      </w:r>
      <w:r>
        <w:rPr>
          <w:rFonts w:hint="eastAsia" w:ascii="楷体" w:hAnsi="楷体" w:eastAsia="楷体" w:cs="仿宋"/>
          <w:sz w:val="32"/>
          <w:szCs w:val="32"/>
          <w:lang w:val="en-US" w:eastAsia="zh-CN"/>
        </w:rPr>
        <w:t>文化广电和旅游</w:t>
      </w:r>
      <w:r>
        <w:rPr>
          <w:rFonts w:hint="eastAsia" w:ascii="楷体" w:hAnsi="楷体" w:eastAsia="楷体" w:cs="仿宋"/>
          <w:sz w:val="32"/>
          <w:szCs w:val="32"/>
        </w:rPr>
        <w:t>局</w:t>
      </w:r>
    </w:p>
    <w:p w14:paraId="042976C7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检查内容：</w:t>
      </w:r>
    </w:p>
    <w:p w14:paraId="2B41BDD6">
      <w:pPr>
        <w:tabs>
          <w:tab w:val="left" w:pos="354"/>
        </w:tabs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娱乐场所“双随机”抽查；互联网上网服务营业场所“双随机”抽查；互联网文化“双随机”抽查；艺术品“双随机”抽查；艺术考级机构“双随机”抽查。</w:t>
      </w:r>
    </w:p>
    <w:p w14:paraId="006A634C">
      <w:pPr>
        <w:tabs>
          <w:tab w:val="left" w:pos="354"/>
        </w:tabs>
        <w:spacing w:line="560" w:lineRule="exact"/>
        <w:ind w:firstLine="640" w:firstLineChars="200"/>
        <w:rPr>
          <w:rFonts w:hint="default" w:ascii="楷体" w:hAnsi="楷体" w:eastAsia="楷体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仿宋"/>
          <w:sz w:val="32"/>
          <w:szCs w:val="32"/>
        </w:rPr>
        <w:t>（二）</w:t>
      </w:r>
      <w:r>
        <w:rPr>
          <w:rFonts w:hint="eastAsia" w:ascii="楷体" w:hAnsi="楷体" w:eastAsia="楷体" w:cs="仿宋"/>
          <w:sz w:val="32"/>
          <w:szCs w:val="32"/>
          <w:lang w:val="en-US" w:eastAsia="zh-CN"/>
        </w:rPr>
        <w:t>公安局</w:t>
      </w:r>
    </w:p>
    <w:p w14:paraId="01D82CF4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检查内容：</w:t>
      </w:r>
    </w:p>
    <w:p w14:paraId="5842E50E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  <w:lang w:val="en-US" w:eastAsia="zh-CN"/>
        </w:rPr>
        <w:t>互联网上网服务营业场所信息网络安全检查；娱乐场所和特种行业检查（歌舞娱乐、游戏游艺场所检查）。</w:t>
      </w:r>
    </w:p>
    <w:p w14:paraId="5A3FE41C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名单抽取及派发</w:t>
      </w:r>
    </w:p>
    <w:p w14:paraId="522C3C83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（一）由高阳县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文化广电和旅游</w:t>
      </w:r>
      <w:r>
        <w:rPr>
          <w:rFonts w:hint="eastAsia" w:ascii="仿宋" w:hAnsi="仿宋" w:eastAsia="仿宋" w:cs="仿宋"/>
          <w:sz w:val="32"/>
          <w:szCs w:val="32"/>
        </w:rPr>
        <w:t>局通过“河北省双随机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执法</w:t>
      </w:r>
      <w:r>
        <w:rPr>
          <w:rFonts w:hint="eastAsia" w:ascii="仿宋" w:hAnsi="仿宋" w:eastAsia="仿宋" w:cs="仿宋"/>
          <w:sz w:val="32"/>
          <w:szCs w:val="32"/>
        </w:rPr>
        <w:t>监管平台”在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广电</w:t>
      </w:r>
      <w:r>
        <w:rPr>
          <w:rFonts w:hint="eastAsia" w:ascii="仿宋" w:hAnsi="仿宋" w:eastAsia="仿宋" w:cs="仿宋"/>
          <w:sz w:val="32"/>
          <w:szCs w:val="32"/>
        </w:rPr>
        <w:t>市场领域中随机抽取检查市场主体名单，由“河北省双随机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执法</w:t>
      </w:r>
      <w:r>
        <w:rPr>
          <w:rFonts w:hint="eastAsia" w:ascii="仿宋" w:hAnsi="仿宋" w:eastAsia="仿宋" w:cs="仿宋"/>
          <w:sz w:val="32"/>
          <w:szCs w:val="32"/>
        </w:rPr>
        <w:t>监管平台”自动派发到相关单位，由相关部门系统管理员在两个工作日内完成比对和确认。</w:t>
      </w:r>
    </w:p>
    <w:p w14:paraId="3E25632F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（二）各相关配合部门通过“河北省双随机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执法</w:t>
      </w:r>
      <w:r>
        <w:rPr>
          <w:rFonts w:hint="eastAsia" w:ascii="仿宋" w:hAnsi="仿宋" w:eastAsia="仿宋" w:cs="仿宋"/>
          <w:sz w:val="32"/>
          <w:szCs w:val="32"/>
        </w:rPr>
        <w:t>监管平台”从执法人员名录库中随机抽取执法人员检查。</w:t>
      </w:r>
    </w:p>
    <w:p w14:paraId="4686E91B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（三）被检查对象和检查人员确定后，由“河北省双随机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执法</w:t>
      </w:r>
      <w:r>
        <w:rPr>
          <w:rFonts w:hint="eastAsia" w:ascii="仿宋" w:hAnsi="仿宋" w:eastAsia="仿宋" w:cs="仿宋"/>
          <w:sz w:val="32"/>
          <w:szCs w:val="32"/>
        </w:rPr>
        <w:t>监管平台”随机匹配，并派发到执法抽查人员，由具体抽查执法人员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实施检查，并录入检查结果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4969E07">
      <w:pPr>
        <w:spacing w:line="560" w:lineRule="exact"/>
        <w:ind w:firstLine="640" w:firstLineChars="20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五、随机抽查组织实施</w:t>
      </w:r>
    </w:p>
    <w:p w14:paraId="26C6B7EC">
      <w:pPr>
        <w:spacing w:line="560" w:lineRule="exact"/>
        <w:ind w:firstLine="640" w:firstLineChars="200"/>
        <w:rPr>
          <w:rFonts w:ascii="楷体" w:hAnsi="楷体" w:eastAsia="楷体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（一）检查方式</w:t>
      </w:r>
    </w:p>
    <w:p w14:paraId="52E464D9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1、抽查部门按照抽查内容采取书面检查、实地核查和网络监测等方式。被抽查对象实施现场检查一般采取信息比对、实地核查等方式进行。</w:t>
      </w:r>
    </w:p>
    <w:p w14:paraId="60641515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2、对企业进行实地核查时，各单位须着本单位执法服装且执法人员不得少于2人，应当出示行政执法证件后，进行检查。检查人员应当填写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检查信息</w:t>
      </w:r>
      <w:r>
        <w:rPr>
          <w:rFonts w:hint="eastAsia" w:ascii="仿宋" w:hAnsi="仿宋" w:eastAsia="仿宋" w:cs="仿宋"/>
          <w:sz w:val="32"/>
          <w:szCs w:val="32"/>
        </w:rPr>
        <w:t>，并由被检查企业法定代表人签字确认；被检查对象拒绝签字的应当在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检查结果中</w:t>
      </w:r>
      <w:r>
        <w:rPr>
          <w:rFonts w:hint="eastAsia" w:ascii="仿宋" w:hAnsi="仿宋" w:eastAsia="仿宋" w:cs="仿宋"/>
          <w:sz w:val="32"/>
          <w:szCs w:val="32"/>
        </w:rPr>
        <w:t>如实记录。</w:t>
      </w:r>
    </w:p>
    <w:p w14:paraId="44C78F15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3、对企业实施联合抽查时，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文化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和旅游局</w:t>
      </w:r>
      <w:r>
        <w:rPr>
          <w:rFonts w:hint="eastAsia" w:ascii="仿宋" w:hAnsi="仿宋" w:eastAsia="仿宋" w:cs="仿宋"/>
          <w:sz w:val="32"/>
          <w:szCs w:val="32"/>
        </w:rPr>
        <w:t>部门要充分发挥牵头部门作用，统筹安排核查工作，加强部门协调配合，联合抽查单位一次性完成抽查任务。</w:t>
      </w:r>
    </w:p>
    <w:p w14:paraId="299ABC78">
      <w:pPr>
        <w:spacing w:line="560" w:lineRule="exact"/>
        <w:ind w:firstLine="640" w:firstLineChars="200"/>
        <w:rPr>
          <w:rFonts w:ascii="楷体" w:hAnsi="楷体" w:eastAsia="楷体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（二）抽查结果公示</w:t>
      </w:r>
    </w:p>
    <w:p w14:paraId="7A6B4F2F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相关部门应在完成检查工作并做出检查结果认定之日起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个工作日内，抽查截止时间结束之前，按照“谁检查、谁录入、谁公开”的原则，将抽查结果如实录入“河北省双随机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执法</w:t>
      </w:r>
      <w:r>
        <w:rPr>
          <w:rFonts w:hint="eastAsia" w:ascii="仿宋" w:hAnsi="仿宋" w:eastAsia="仿宋" w:cs="仿宋"/>
          <w:sz w:val="32"/>
          <w:szCs w:val="32"/>
        </w:rPr>
        <w:t>监管平台”系统，并通过“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国家企业信用信息公示系统</w:t>
      </w:r>
      <w:r>
        <w:rPr>
          <w:rFonts w:hint="eastAsia" w:ascii="仿宋" w:hAnsi="仿宋" w:eastAsia="仿宋" w:cs="仿宋"/>
          <w:sz w:val="32"/>
          <w:szCs w:val="32"/>
        </w:rPr>
        <w:t>”向社会公示，接受社会监督。</w:t>
      </w:r>
    </w:p>
    <w:p w14:paraId="7A09EE03">
      <w:pPr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六、工作要求</w:t>
      </w:r>
    </w:p>
    <w:p w14:paraId="7C10A2DC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（一）加强组织领导。</w:t>
      </w:r>
      <w:r>
        <w:rPr>
          <w:rFonts w:hint="eastAsia" w:ascii="仿宋" w:hAnsi="仿宋" w:eastAsia="仿宋" w:cs="仿宋"/>
          <w:sz w:val="32"/>
          <w:szCs w:val="32"/>
        </w:rPr>
        <w:t>各抽查部门要高度重视部门“双随机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、一公开</w:t>
      </w:r>
      <w:r>
        <w:rPr>
          <w:rFonts w:hint="eastAsia" w:ascii="仿宋" w:hAnsi="仿宋" w:eastAsia="仿宋" w:cs="仿宋"/>
          <w:sz w:val="32"/>
          <w:szCs w:val="32"/>
        </w:rPr>
        <w:t>”联合抽查工作，抓好落实，加强宣传，精心组织，按时完成抽查任务。</w:t>
      </w:r>
    </w:p>
    <w:p w14:paraId="6888F5DC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（二）加强监管服务。</w:t>
      </w:r>
      <w:r>
        <w:rPr>
          <w:rFonts w:hint="eastAsia" w:ascii="仿宋" w:hAnsi="仿宋" w:eastAsia="仿宋" w:cs="仿宋"/>
          <w:sz w:val="32"/>
          <w:szCs w:val="32"/>
        </w:rPr>
        <w:t>在联合抽查工作中，相关部门要注重服务与监管相统一，检查人员在监督检查工作中要廉政执法，依法行政，切实增强检查活动的集约性、简便性与有效性，避免增加企业负担；同时要增强服务意识，把上门检查与上门服务有机结合起来，主动接受企业咨询，为企业解疑答惑。</w:t>
      </w:r>
    </w:p>
    <w:p w14:paraId="23C8E050"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（三）加强信用监管。</w:t>
      </w:r>
      <w:r>
        <w:rPr>
          <w:rFonts w:hint="eastAsia" w:ascii="仿宋" w:hAnsi="仿宋" w:eastAsia="仿宋" w:cs="仿宋"/>
          <w:sz w:val="32"/>
          <w:szCs w:val="32"/>
        </w:rPr>
        <w:t>按照“谁检查、谁录入、谁公开”的原则，一名执法人员负责录入，另一名执法人员负责审核，杜绝检查结果录入错误现象，及时将抽查结果标记于被抽查对象名下，并向社会公示。要按照“谁管辖、谁负责”的原则，对联合随机抽查中发现的问题实施后续监管，防止监管脱节，促进形成企业诚信自律的社会氛围。</w:t>
      </w:r>
    </w:p>
    <w:p w14:paraId="1C8CC3D3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（四）加强信息反馈。</w:t>
      </w:r>
      <w:r>
        <w:rPr>
          <w:rFonts w:hint="eastAsia" w:ascii="仿宋" w:hAnsi="仿宋" w:eastAsia="仿宋" w:cs="仿宋"/>
          <w:sz w:val="32"/>
          <w:szCs w:val="32"/>
        </w:rPr>
        <w:t>各相关联合抽查单位，要以此次联合抽查工作为契机，找出监管工作漏洞并实施后续监管，杜绝监管盲区。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871" w:left="1588" w:header="851" w:footer="992" w:gutter="0"/>
      <w:pgNumType w:fmt="numberInDash"/>
      <w:cols w:space="720" w:num="1"/>
      <w:docGrid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72DD9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7F0C7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A6585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B24FF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B3B4CA"/>
    <w:multiLevelType w:val="singleLevel"/>
    <w:tmpl w:val="AAB3B4C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xZDk5MjFiMzk1YTBiMzg1OGNmYTNiNjM0MDY5M2QifQ=="/>
  </w:docVars>
  <w:rsids>
    <w:rsidRoot w:val="00F26F00"/>
    <w:rsid w:val="00000D11"/>
    <w:rsid w:val="0003603D"/>
    <w:rsid w:val="000428C0"/>
    <w:rsid w:val="0004580E"/>
    <w:rsid w:val="0005160A"/>
    <w:rsid w:val="0006088C"/>
    <w:rsid w:val="00073E5B"/>
    <w:rsid w:val="00082E42"/>
    <w:rsid w:val="00091FD2"/>
    <w:rsid w:val="000A6D63"/>
    <w:rsid w:val="000B1B7D"/>
    <w:rsid w:val="000B6770"/>
    <w:rsid w:val="000C0C3B"/>
    <w:rsid w:val="000D135D"/>
    <w:rsid w:val="000D16AA"/>
    <w:rsid w:val="000D241C"/>
    <w:rsid w:val="000D5A57"/>
    <w:rsid w:val="000E5145"/>
    <w:rsid w:val="000F4034"/>
    <w:rsid w:val="000F4FF2"/>
    <w:rsid w:val="000F7986"/>
    <w:rsid w:val="001149E4"/>
    <w:rsid w:val="00123D88"/>
    <w:rsid w:val="001343F6"/>
    <w:rsid w:val="00140716"/>
    <w:rsid w:val="00152940"/>
    <w:rsid w:val="0016707A"/>
    <w:rsid w:val="001A0563"/>
    <w:rsid w:val="001C09CB"/>
    <w:rsid w:val="001C35BA"/>
    <w:rsid w:val="001C491E"/>
    <w:rsid w:val="001F3A13"/>
    <w:rsid w:val="002055B3"/>
    <w:rsid w:val="00205A3C"/>
    <w:rsid w:val="002147A8"/>
    <w:rsid w:val="00217183"/>
    <w:rsid w:val="0024263B"/>
    <w:rsid w:val="00245B1B"/>
    <w:rsid w:val="00251472"/>
    <w:rsid w:val="002619BA"/>
    <w:rsid w:val="002766F7"/>
    <w:rsid w:val="002B41A3"/>
    <w:rsid w:val="002C304B"/>
    <w:rsid w:val="002D2C01"/>
    <w:rsid w:val="002D676E"/>
    <w:rsid w:val="002E45DC"/>
    <w:rsid w:val="002E5BE9"/>
    <w:rsid w:val="002E6AC9"/>
    <w:rsid w:val="00301245"/>
    <w:rsid w:val="00330D58"/>
    <w:rsid w:val="00340E2C"/>
    <w:rsid w:val="00341772"/>
    <w:rsid w:val="00371EF7"/>
    <w:rsid w:val="00381952"/>
    <w:rsid w:val="003946F3"/>
    <w:rsid w:val="00395E71"/>
    <w:rsid w:val="003A786E"/>
    <w:rsid w:val="003D3E7D"/>
    <w:rsid w:val="003D63FA"/>
    <w:rsid w:val="003E0D65"/>
    <w:rsid w:val="003E29F9"/>
    <w:rsid w:val="003F173F"/>
    <w:rsid w:val="00403A35"/>
    <w:rsid w:val="00407B49"/>
    <w:rsid w:val="00414CAE"/>
    <w:rsid w:val="00451ED6"/>
    <w:rsid w:val="00471161"/>
    <w:rsid w:val="0049656E"/>
    <w:rsid w:val="0049750D"/>
    <w:rsid w:val="004A1160"/>
    <w:rsid w:val="004A3DEC"/>
    <w:rsid w:val="004A4375"/>
    <w:rsid w:val="004B11D5"/>
    <w:rsid w:val="004B35D1"/>
    <w:rsid w:val="00502AAF"/>
    <w:rsid w:val="0050687F"/>
    <w:rsid w:val="005102BC"/>
    <w:rsid w:val="005273DD"/>
    <w:rsid w:val="00541D04"/>
    <w:rsid w:val="00552C7F"/>
    <w:rsid w:val="00554F26"/>
    <w:rsid w:val="00571AF4"/>
    <w:rsid w:val="0058039F"/>
    <w:rsid w:val="005A4A3F"/>
    <w:rsid w:val="005A75E4"/>
    <w:rsid w:val="005B398A"/>
    <w:rsid w:val="005C337E"/>
    <w:rsid w:val="005F5820"/>
    <w:rsid w:val="00604F1F"/>
    <w:rsid w:val="00615B95"/>
    <w:rsid w:val="00620695"/>
    <w:rsid w:val="006238DC"/>
    <w:rsid w:val="00631140"/>
    <w:rsid w:val="00656226"/>
    <w:rsid w:val="00657470"/>
    <w:rsid w:val="00665706"/>
    <w:rsid w:val="00670298"/>
    <w:rsid w:val="00673665"/>
    <w:rsid w:val="006A0330"/>
    <w:rsid w:val="006E3732"/>
    <w:rsid w:val="006E6688"/>
    <w:rsid w:val="006F1FE8"/>
    <w:rsid w:val="00721BB9"/>
    <w:rsid w:val="00751BE9"/>
    <w:rsid w:val="00754453"/>
    <w:rsid w:val="0077537B"/>
    <w:rsid w:val="00790C5E"/>
    <w:rsid w:val="00797AF5"/>
    <w:rsid w:val="007A0156"/>
    <w:rsid w:val="007B519D"/>
    <w:rsid w:val="007E0858"/>
    <w:rsid w:val="007E4B18"/>
    <w:rsid w:val="007E64B6"/>
    <w:rsid w:val="007E71FF"/>
    <w:rsid w:val="00817FA0"/>
    <w:rsid w:val="00834F4A"/>
    <w:rsid w:val="0084136F"/>
    <w:rsid w:val="00861BE7"/>
    <w:rsid w:val="00875AD9"/>
    <w:rsid w:val="00877E2A"/>
    <w:rsid w:val="00880F25"/>
    <w:rsid w:val="0088215B"/>
    <w:rsid w:val="00882B33"/>
    <w:rsid w:val="00895628"/>
    <w:rsid w:val="008A6685"/>
    <w:rsid w:val="008B1D1B"/>
    <w:rsid w:val="008C2FB7"/>
    <w:rsid w:val="008D2FEF"/>
    <w:rsid w:val="008D54A8"/>
    <w:rsid w:val="008E00F1"/>
    <w:rsid w:val="008F3CB7"/>
    <w:rsid w:val="00915A6A"/>
    <w:rsid w:val="00916F92"/>
    <w:rsid w:val="009252C0"/>
    <w:rsid w:val="00925C69"/>
    <w:rsid w:val="00930CAA"/>
    <w:rsid w:val="0097391D"/>
    <w:rsid w:val="0097614A"/>
    <w:rsid w:val="00977036"/>
    <w:rsid w:val="00982C39"/>
    <w:rsid w:val="009A1BC1"/>
    <w:rsid w:val="009B7E15"/>
    <w:rsid w:val="009D6EE4"/>
    <w:rsid w:val="009E16DE"/>
    <w:rsid w:val="009E1A9C"/>
    <w:rsid w:val="009F1C3F"/>
    <w:rsid w:val="009F6E70"/>
    <w:rsid w:val="00A11A7D"/>
    <w:rsid w:val="00A15BE0"/>
    <w:rsid w:val="00A23B05"/>
    <w:rsid w:val="00A46324"/>
    <w:rsid w:val="00A47AB6"/>
    <w:rsid w:val="00A62EDA"/>
    <w:rsid w:val="00A6719F"/>
    <w:rsid w:val="00A8140F"/>
    <w:rsid w:val="00A8252C"/>
    <w:rsid w:val="00A82546"/>
    <w:rsid w:val="00A9122F"/>
    <w:rsid w:val="00AB10E6"/>
    <w:rsid w:val="00AD001C"/>
    <w:rsid w:val="00AE4EEE"/>
    <w:rsid w:val="00AF21C5"/>
    <w:rsid w:val="00AF37A9"/>
    <w:rsid w:val="00B41545"/>
    <w:rsid w:val="00B7116F"/>
    <w:rsid w:val="00B73CB5"/>
    <w:rsid w:val="00B93968"/>
    <w:rsid w:val="00B95CC5"/>
    <w:rsid w:val="00B96C87"/>
    <w:rsid w:val="00BB55BC"/>
    <w:rsid w:val="00BB746A"/>
    <w:rsid w:val="00BC1D21"/>
    <w:rsid w:val="00BE58B1"/>
    <w:rsid w:val="00BF2372"/>
    <w:rsid w:val="00BF624E"/>
    <w:rsid w:val="00C00A2B"/>
    <w:rsid w:val="00C0335D"/>
    <w:rsid w:val="00C30C3F"/>
    <w:rsid w:val="00C41D07"/>
    <w:rsid w:val="00C50AF0"/>
    <w:rsid w:val="00C56B99"/>
    <w:rsid w:val="00C72354"/>
    <w:rsid w:val="00C91019"/>
    <w:rsid w:val="00C92B88"/>
    <w:rsid w:val="00C92C6A"/>
    <w:rsid w:val="00CA00E1"/>
    <w:rsid w:val="00CA2D87"/>
    <w:rsid w:val="00CA2F2C"/>
    <w:rsid w:val="00CA4A47"/>
    <w:rsid w:val="00CA51F4"/>
    <w:rsid w:val="00CA5A7E"/>
    <w:rsid w:val="00CB607A"/>
    <w:rsid w:val="00CC6953"/>
    <w:rsid w:val="00CF258E"/>
    <w:rsid w:val="00D16610"/>
    <w:rsid w:val="00D530CC"/>
    <w:rsid w:val="00D653A8"/>
    <w:rsid w:val="00D955BC"/>
    <w:rsid w:val="00DB41EB"/>
    <w:rsid w:val="00DC2BDD"/>
    <w:rsid w:val="00DC7DBE"/>
    <w:rsid w:val="00DD7728"/>
    <w:rsid w:val="00DF5F33"/>
    <w:rsid w:val="00E1167E"/>
    <w:rsid w:val="00E15C9F"/>
    <w:rsid w:val="00E22822"/>
    <w:rsid w:val="00E43324"/>
    <w:rsid w:val="00E4615A"/>
    <w:rsid w:val="00E568E2"/>
    <w:rsid w:val="00E56D9C"/>
    <w:rsid w:val="00E6678C"/>
    <w:rsid w:val="00EB7240"/>
    <w:rsid w:val="00F028D1"/>
    <w:rsid w:val="00F030B4"/>
    <w:rsid w:val="00F07CB1"/>
    <w:rsid w:val="00F07EF8"/>
    <w:rsid w:val="00F236C9"/>
    <w:rsid w:val="00F26F00"/>
    <w:rsid w:val="00F33FE0"/>
    <w:rsid w:val="00F37087"/>
    <w:rsid w:val="00F44C40"/>
    <w:rsid w:val="00F457A9"/>
    <w:rsid w:val="00F47923"/>
    <w:rsid w:val="00F648AC"/>
    <w:rsid w:val="00F65804"/>
    <w:rsid w:val="00F80C57"/>
    <w:rsid w:val="00F9321F"/>
    <w:rsid w:val="00F93DDC"/>
    <w:rsid w:val="00FA5203"/>
    <w:rsid w:val="00FB2A11"/>
    <w:rsid w:val="00FD77FF"/>
    <w:rsid w:val="016E5980"/>
    <w:rsid w:val="018555D7"/>
    <w:rsid w:val="01D61C84"/>
    <w:rsid w:val="01E30C47"/>
    <w:rsid w:val="02430B28"/>
    <w:rsid w:val="02670A0D"/>
    <w:rsid w:val="031D1B6D"/>
    <w:rsid w:val="03E12329"/>
    <w:rsid w:val="04A440FA"/>
    <w:rsid w:val="05154FCB"/>
    <w:rsid w:val="05466188"/>
    <w:rsid w:val="07290E79"/>
    <w:rsid w:val="08E21D27"/>
    <w:rsid w:val="090233D5"/>
    <w:rsid w:val="092748AF"/>
    <w:rsid w:val="097E27B5"/>
    <w:rsid w:val="098D0437"/>
    <w:rsid w:val="0993565A"/>
    <w:rsid w:val="0AB55187"/>
    <w:rsid w:val="0BD1065F"/>
    <w:rsid w:val="0BF4255E"/>
    <w:rsid w:val="0BFB21E4"/>
    <w:rsid w:val="0C582320"/>
    <w:rsid w:val="0C991F79"/>
    <w:rsid w:val="0CBC7BBB"/>
    <w:rsid w:val="0D9D15F6"/>
    <w:rsid w:val="0DDD076F"/>
    <w:rsid w:val="0E2A3601"/>
    <w:rsid w:val="0FBB0879"/>
    <w:rsid w:val="10613D97"/>
    <w:rsid w:val="10C05F94"/>
    <w:rsid w:val="10C225BD"/>
    <w:rsid w:val="10ED7DC1"/>
    <w:rsid w:val="113243F5"/>
    <w:rsid w:val="114D1554"/>
    <w:rsid w:val="11983C20"/>
    <w:rsid w:val="129B110E"/>
    <w:rsid w:val="12F33987"/>
    <w:rsid w:val="14F968E6"/>
    <w:rsid w:val="170A1CA8"/>
    <w:rsid w:val="173451BA"/>
    <w:rsid w:val="174E108A"/>
    <w:rsid w:val="17757C54"/>
    <w:rsid w:val="178848B7"/>
    <w:rsid w:val="188A2FDC"/>
    <w:rsid w:val="189D35DD"/>
    <w:rsid w:val="18FB6BAD"/>
    <w:rsid w:val="19216F24"/>
    <w:rsid w:val="19793B71"/>
    <w:rsid w:val="1AC90A82"/>
    <w:rsid w:val="1B8D00B5"/>
    <w:rsid w:val="1BBB3192"/>
    <w:rsid w:val="1C476013"/>
    <w:rsid w:val="1D8843D9"/>
    <w:rsid w:val="1E2A6B5E"/>
    <w:rsid w:val="1F136F25"/>
    <w:rsid w:val="1F9E3AA2"/>
    <w:rsid w:val="1FAE776C"/>
    <w:rsid w:val="1FCC0ED6"/>
    <w:rsid w:val="203D7999"/>
    <w:rsid w:val="204A0180"/>
    <w:rsid w:val="210033A7"/>
    <w:rsid w:val="21256D80"/>
    <w:rsid w:val="212F21FA"/>
    <w:rsid w:val="213D2857"/>
    <w:rsid w:val="220E2964"/>
    <w:rsid w:val="222F2900"/>
    <w:rsid w:val="22B14B76"/>
    <w:rsid w:val="237B192E"/>
    <w:rsid w:val="25401FC6"/>
    <w:rsid w:val="26B53CE9"/>
    <w:rsid w:val="279E45DC"/>
    <w:rsid w:val="27D27CAD"/>
    <w:rsid w:val="28657196"/>
    <w:rsid w:val="2901271D"/>
    <w:rsid w:val="29240F46"/>
    <w:rsid w:val="297677F1"/>
    <w:rsid w:val="29EF7732"/>
    <w:rsid w:val="29F7080A"/>
    <w:rsid w:val="2A4E28C6"/>
    <w:rsid w:val="2AC01407"/>
    <w:rsid w:val="2B4F09BF"/>
    <w:rsid w:val="2B656F8E"/>
    <w:rsid w:val="2B8C0F0E"/>
    <w:rsid w:val="2BA01E2A"/>
    <w:rsid w:val="2BEC6425"/>
    <w:rsid w:val="2C4E188B"/>
    <w:rsid w:val="2DF72D26"/>
    <w:rsid w:val="2E05361B"/>
    <w:rsid w:val="2F95399E"/>
    <w:rsid w:val="2FE0049D"/>
    <w:rsid w:val="2FE70B29"/>
    <w:rsid w:val="3099321D"/>
    <w:rsid w:val="30AE4BE1"/>
    <w:rsid w:val="313E7C2B"/>
    <w:rsid w:val="32462FB6"/>
    <w:rsid w:val="32997199"/>
    <w:rsid w:val="32A05430"/>
    <w:rsid w:val="32E70E32"/>
    <w:rsid w:val="331341A0"/>
    <w:rsid w:val="333F0CA1"/>
    <w:rsid w:val="343A31C0"/>
    <w:rsid w:val="345E1C73"/>
    <w:rsid w:val="34616824"/>
    <w:rsid w:val="34A933C3"/>
    <w:rsid w:val="34C968CC"/>
    <w:rsid w:val="3513296C"/>
    <w:rsid w:val="3561476C"/>
    <w:rsid w:val="35A9784B"/>
    <w:rsid w:val="35BE460D"/>
    <w:rsid w:val="35C02927"/>
    <w:rsid w:val="360A729C"/>
    <w:rsid w:val="36496ED2"/>
    <w:rsid w:val="36BC28D1"/>
    <w:rsid w:val="37401B26"/>
    <w:rsid w:val="38734D5B"/>
    <w:rsid w:val="38C23B86"/>
    <w:rsid w:val="38E90539"/>
    <w:rsid w:val="38FF1B70"/>
    <w:rsid w:val="398A67FC"/>
    <w:rsid w:val="399B7CCC"/>
    <w:rsid w:val="39A46F56"/>
    <w:rsid w:val="39AD1228"/>
    <w:rsid w:val="39CA782F"/>
    <w:rsid w:val="3A3751B0"/>
    <w:rsid w:val="3AAF230B"/>
    <w:rsid w:val="3ABC56BA"/>
    <w:rsid w:val="3BD63381"/>
    <w:rsid w:val="3C7961AC"/>
    <w:rsid w:val="3CB5519F"/>
    <w:rsid w:val="3D5E3A95"/>
    <w:rsid w:val="3D801FF5"/>
    <w:rsid w:val="3DA21698"/>
    <w:rsid w:val="3DAF7FC8"/>
    <w:rsid w:val="3E433D01"/>
    <w:rsid w:val="3F08358C"/>
    <w:rsid w:val="40852FAF"/>
    <w:rsid w:val="40F4252E"/>
    <w:rsid w:val="41020A8B"/>
    <w:rsid w:val="413F619F"/>
    <w:rsid w:val="4145201E"/>
    <w:rsid w:val="41B3125D"/>
    <w:rsid w:val="4265110C"/>
    <w:rsid w:val="428841D6"/>
    <w:rsid w:val="42E62307"/>
    <w:rsid w:val="42F10090"/>
    <w:rsid w:val="43A5607F"/>
    <w:rsid w:val="44170CE4"/>
    <w:rsid w:val="445E5267"/>
    <w:rsid w:val="45CC6F4C"/>
    <w:rsid w:val="45E01597"/>
    <w:rsid w:val="464A45FF"/>
    <w:rsid w:val="46FD6F9C"/>
    <w:rsid w:val="47006327"/>
    <w:rsid w:val="47BB616D"/>
    <w:rsid w:val="47BD3A86"/>
    <w:rsid w:val="488B230B"/>
    <w:rsid w:val="48EC4DB9"/>
    <w:rsid w:val="49561E76"/>
    <w:rsid w:val="4AE32FFF"/>
    <w:rsid w:val="4B0A0A62"/>
    <w:rsid w:val="4B761A2B"/>
    <w:rsid w:val="4BA464E9"/>
    <w:rsid w:val="4C411009"/>
    <w:rsid w:val="4C433163"/>
    <w:rsid w:val="4CC26DEB"/>
    <w:rsid w:val="4D0A6E91"/>
    <w:rsid w:val="4D673877"/>
    <w:rsid w:val="4D881C57"/>
    <w:rsid w:val="4F207F7E"/>
    <w:rsid w:val="4F240C12"/>
    <w:rsid w:val="4F680958"/>
    <w:rsid w:val="4FB16B4E"/>
    <w:rsid w:val="50A54DF1"/>
    <w:rsid w:val="511420EB"/>
    <w:rsid w:val="52125AC0"/>
    <w:rsid w:val="52B97FB3"/>
    <w:rsid w:val="52ED47C6"/>
    <w:rsid w:val="531F6EF9"/>
    <w:rsid w:val="53B82331"/>
    <w:rsid w:val="54BD104C"/>
    <w:rsid w:val="554D6AB5"/>
    <w:rsid w:val="559627B0"/>
    <w:rsid w:val="573233E6"/>
    <w:rsid w:val="57755DCC"/>
    <w:rsid w:val="5788360B"/>
    <w:rsid w:val="585136DE"/>
    <w:rsid w:val="58C70722"/>
    <w:rsid w:val="58ED3360"/>
    <w:rsid w:val="5971245A"/>
    <w:rsid w:val="597E7031"/>
    <w:rsid w:val="59971B32"/>
    <w:rsid w:val="5A791EC9"/>
    <w:rsid w:val="5A7928D0"/>
    <w:rsid w:val="5A890281"/>
    <w:rsid w:val="5BAF5C00"/>
    <w:rsid w:val="5C18151C"/>
    <w:rsid w:val="5C447F27"/>
    <w:rsid w:val="5D174A35"/>
    <w:rsid w:val="5D5B7044"/>
    <w:rsid w:val="5D8F05B9"/>
    <w:rsid w:val="5DD92655"/>
    <w:rsid w:val="5E581B30"/>
    <w:rsid w:val="5E7C2143"/>
    <w:rsid w:val="5EC109CF"/>
    <w:rsid w:val="5EDC2EB2"/>
    <w:rsid w:val="5EE524D9"/>
    <w:rsid w:val="5F357A18"/>
    <w:rsid w:val="5F4367E4"/>
    <w:rsid w:val="6003236E"/>
    <w:rsid w:val="604331D8"/>
    <w:rsid w:val="604B418A"/>
    <w:rsid w:val="61CE3DF2"/>
    <w:rsid w:val="629A2250"/>
    <w:rsid w:val="63195DC7"/>
    <w:rsid w:val="63244A4F"/>
    <w:rsid w:val="63AE68C6"/>
    <w:rsid w:val="64D275A1"/>
    <w:rsid w:val="64E14DEE"/>
    <w:rsid w:val="64FF5125"/>
    <w:rsid w:val="65004ED7"/>
    <w:rsid w:val="658E4B7D"/>
    <w:rsid w:val="66067648"/>
    <w:rsid w:val="665726C0"/>
    <w:rsid w:val="66C76579"/>
    <w:rsid w:val="672527F5"/>
    <w:rsid w:val="676D25A0"/>
    <w:rsid w:val="682804C4"/>
    <w:rsid w:val="68710A32"/>
    <w:rsid w:val="68786A1E"/>
    <w:rsid w:val="69557CDE"/>
    <w:rsid w:val="696B1D0D"/>
    <w:rsid w:val="69A9442D"/>
    <w:rsid w:val="6A52218A"/>
    <w:rsid w:val="6A6C0FFE"/>
    <w:rsid w:val="6A7327B4"/>
    <w:rsid w:val="6AA76605"/>
    <w:rsid w:val="6B347B4B"/>
    <w:rsid w:val="6B6E1BDD"/>
    <w:rsid w:val="6CCF53E1"/>
    <w:rsid w:val="6D160FB5"/>
    <w:rsid w:val="6D4973F8"/>
    <w:rsid w:val="6D6105B3"/>
    <w:rsid w:val="6DE8351B"/>
    <w:rsid w:val="6DFC76EC"/>
    <w:rsid w:val="6E4E410E"/>
    <w:rsid w:val="6EB51B6F"/>
    <w:rsid w:val="6EBB0EBA"/>
    <w:rsid w:val="6F852AE1"/>
    <w:rsid w:val="6FCA2FC2"/>
    <w:rsid w:val="6FEE02DA"/>
    <w:rsid w:val="702C2E90"/>
    <w:rsid w:val="70920207"/>
    <w:rsid w:val="71923AB2"/>
    <w:rsid w:val="71B7198A"/>
    <w:rsid w:val="71F8546E"/>
    <w:rsid w:val="726639D5"/>
    <w:rsid w:val="731F102C"/>
    <w:rsid w:val="73467E50"/>
    <w:rsid w:val="73A6329B"/>
    <w:rsid w:val="74DB61B3"/>
    <w:rsid w:val="759A6CDB"/>
    <w:rsid w:val="75C37A73"/>
    <w:rsid w:val="75D01B2A"/>
    <w:rsid w:val="75D9279D"/>
    <w:rsid w:val="76095F8D"/>
    <w:rsid w:val="76302EE4"/>
    <w:rsid w:val="76573642"/>
    <w:rsid w:val="77016E13"/>
    <w:rsid w:val="77064437"/>
    <w:rsid w:val="77BA32DB"/>
    <w:rsid w:val="78000306"/>
    <w:rsid w:val="784A7CC7"/>
    <w:rsid w:val="78F93D3E"/>
    <w:rsid w:val="7961228B"/>
    <w:rsid w:val="798B6EC0"/>
    <w:rsid w:val="7A0E693B"/>
    <w:rsid w:val="7A6B6361"/>
    <w:rsid w:val="7AB02038"/>
    <w:rsid w:val="7B7747A6"/>
    <w:rsid w:val="7BC4067B"/>
    <w:rsid w:val="7BE74569"/>
    <w:rsid w:val="7C1D6394"/>
    <w:rsid w:val="7C2A0E60"/>
    <w:rsid w:val="7CAA56C0"/>
    <w:rsid w:val="7CC71196"/>
    <w:rsid w:val="7D16182B"/>
    <w:rsid w:val="7D477E98"/>
    <w:rsid w:val="7E6031A4"/>
    <w:rsid w:val="7F462F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szCs w:val="24"/>
    </w:rPr>
  </w:style>
  <w:style w:type="paragraph" w:styleId="3">
    <w:name w:val="Date"/>
    <w:basedOn w:val="1"/>
    <w:next w:val="1"/>
    <w:link w:val="10"/>
    <w:uiPriority w:val="0"/>
    <w:pPr>
      <w:ind w:left="100" w:leftChars="25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uiPriority w:val="0"/>
    <w:rPr>
      <w:color w:val="0000FF"/>
      <w:u w:val="single"/>
    </w:rPr>
  </w:style>
  <w:style w:type="character" w:customStyle="1" w:styleId="10">
    <w:name w:val="日期 Char"/>
    <w:link w:val="3"/>
    <w:qFormat/>
    <w:uiPriority w:val="0"/>
    <w:rPr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1826</Words>
  <Characters>1872</Characters>
  <Lines>23</Lines>
  <Paragraphs>6</Paragraphs>
  <TotalTime>0</TotalTime>
  <ScaleCrop>false</ScaleCrop>
  <LinksUpToDate>false</LinksUpToDate>
  <CharactersWithSpaces>1990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2019-01-25T01:49:00Z</dcterms:created>
  <dc:creator>2560p</dc:creator>
  <cp:lastModifiedBy>执法队</cp:lastModifiedBy>
  <cp:lastPrinted>2023-04-11T06:44:00Z</cp:lastPrinted>
  <dcterms:modified xsi:type="dcterms:W3CDTF">2025-07-16T02:40:47Z</dcterms:modified>
  <dc:title>整治“保健”市场乱象百日行动方案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F3A147D0388D4E6DA75CAC4DED6CD766_13</vt:lpwstr>
  </property>
  <property fmtid="{D5CDD505-2E9C-101B-9397-08002B2CF9AE}" pid="4" name="KSOTemplateDocerSaveRecord">
    <vt:lpwstr>eyJoZGlkIjoiMTlhYmIzNzhhMDJlYjY0NzUxZGIzZjk5ZDAyMmNhZTYiLCJ1c2VySWQiOiIxMDA5OTQxNTYwIn0=</vt:lpwstr>
  </property>
</Properties>
</file>